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DEF2" w14:textId="5BC5E7E2" w:rsidR="00C844FE" w:rsidRPr="00111104" w:rsidRDefault="00EC0FAA" w:rsidP="00743389">
      <w:pPr>
        <w:pStyle w:val="KonuBal"/>
        <w:rPr>
          <w:lang w:val="en-GB"/>
        </w:rPr>
      </w:pPr>
      <w:r w:rsidRPr="00111104">
        <w:rPr>
          <w:lang w:val="en-GB"/>
        </w:rPr>
        <w:t>Tit</w:t>
      </w:r>
      <w:r w:rsidR="009876FC" w:rsidRPr="00111104">
        <w:rPr>
          <w:lang w:val="en-GB"/>
        </w:rPr>
        <w:t>le</w:t>
      </w:r>
      <w:r w:rsidR="00662C67" w:rsidRPr="00111104">
        <w:rPr>
          <w:lang w:val="en-GB"/>
        </w:rPr>
        <w:t xml:space="preserve"> of </w:t>
      </w:r>
      <w:r w:rsidR="00D64BDA" w:rsidRPr="00111104">
        <w:rPr>
          <w:lang w:val="en-GB"/>
        </w:rPr>
        <w:t xml:space="preserve">the </w:t>
      </w:r>
      <w:r w:rsidR="00662C67" w:rsidRPr="00111104">
        <w:rPr>
          <w:lang w:val="en-GB"/>
        </w:rPr>
        <w:t>Paper</w:t>
      </w:r>
    </w:p>
    <w:p w14:paraId="70A9BE28" w14:textId="77777777" w:rsidR="00F22016" w:rsidRPr="00111104" w:rsidRDefault="00F22016" w:rsidP="00F22016">
      <w:pPr>
        <w:jc w:val="center"/>
        <w:rPr>
          <w:b/>
          <w:sz w:val="28"/>
          <w:lang w:val="en-GB"/>
        </w:rPr>
      </w:pPr>
    </w:p>
    <w:p w14:paraId="279D0EAC" w14:textId="3D0A749A" w:rsidR="00D246A9" w:rsidRPr="00111104" w:rsidRDefault="001E2ABB" w:rsidP="00F22016">
      <w:pPr>
        <w:pStyle w:val="Titleofthepaper"/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</w:pPr>
      <w:r w:rsidRPr="00111104">
        <w:rPr>
          <w:rFonts w:ascii="Times New Roman" w:hAnsi="Times New Roman"/>
          <w:noProof w:val="0"/>
          <w:sz w:val="24"/>
          <w:szCs w:val="24"/>
          <w:lang w:val="en-GB"/>
        </w:rPr>
        <w:t>Name SURNAME</w:t>
      </w:r>
      <w:r w:rsidR="007B56EB" w:rsidRPr="00111104"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  <w:t>*</w:t>
      </w:r>
      <w:r w:rsidR="00862825" w:rsidRPr="00111104"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  <w:t>1</w:t>
      </w:r>
      <w:r w:rsidR="00D246A9" w:rsidRPr="00111104">
        <w:rPr>
          <w:rFonts w:ascii="Times New Roman" w:hAnsi="Times New Roman"/>
          <w:noProof w:val="0"/>
          <w:sz w:val="24"/>
          <w:szCs w:val="24"/>
          <w:lang w:val="en-GB"/>
        </w:rPr>
        <w:t xml:space="preserve">, </w:t>
      </w:r>
      <w:r w:rsidRPr="00111104">
        <w:rPr>
          <w:rFonts w:ascii="Times New Roman" w:hAnsi="Times New Roman"/>
          <w:noProof w:val="0"/>
          <w:sz w:val="24"/>
          <w:szCs w:val="24"/>
          <w:lang w:val="en-GB"/>
        </w:rPr>
        <w:t>Name SURNAME</w:t>
      </w:r>
      <w:r w:rsidR="007B56EB" w:rsidRPr="00111104"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  <w:t>2</w:t>
      </w:r>
      <w:r w:rsidR="00D246A9" w:rsidRPr="00111104">
        <w:rPr>
          <w:rFonts w:ascii="Times New Roman" w:hAnsi="Times New Roman"/>
          <w:noProof w:val="0"/>
          <w:sz w:val="24"/>
          <w:szCs w:val="24"/>
          <w:lang w:val="en-GB"/>
        </w:rPr>
        <w:t xml:space="preserve">, </w:t>
      </w:r>
      <w:r w:rsidRPr="00111104">
        <w:rPr>
          <w:rFonts w:ascii="Times New Roman" w:hAnsi="Times New Roman"/>
          <w:noProof w:val="0"/>
          <w:sz w:val="24"/>
          <w:szCs w:val="24"/>
          <w:lang w:val="en-GB"/>
        </w:rPr>
        <w:t>Name SURNAME</w:t>
      </w:r>
      <w:r w:rsidR="007B56EB" w:rsidRPr="00111104">
        <w:rPr>
          <w:rFonts w:ascii="Times New Roman" w:hAnsi="Times New Roman"/>
          <w:noProof w:val="0"/>
          <w:sz w:val="24"/>
          <w:szCs w:val="24"/>
          <w:vertAlign w:val="superscript"/>
          <w:lang w:val="en-GB"/>
        </w:rPr>
        <w:t>3</w:t>
      </w:r>
    </w:p>
    <w:p w14:paraId="32BE28E1" w14:textId="77777777" w:rsidR="00D246A9" w:rsidRPr="00111104" w:rsidRDefault="00D246A9" w:rsidP="00F22016">
      <w:pPr>
        <w:pStyle w:val="Titleofthepaper"/>
        <w:rPr>
          <w:rFonts w:ascii="Times New Roman" w:hAnsi="Times New Roman"/>
          <w:b w:val="0"/>
          <w:noProof w:val="0"/>
          <w:sz w:val="24"/>
          <w:szCs w:val="24"/>
          <w:lang w:val="en-GB"/>
        </w:rPr>
      </w:pPr>
    </w:p>
    <w:p w14:paraId="443306B2" w14:textId="3C047C58" w:rsidR="00D246A9" w:rsidRPr="00111104" w:rsidRDefault="007945A8" w:rsidP="00F22016">
      <w:pPr>
        <w:pStyle w:val="Titleofthepaper"/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</w:pPr>
      <w:r w:rsidRPr="00111104">
        <w:rPr>
          <w:rFonts w:ascii="Times New Roman" w:hAnsi="Times New Roman"/>
          <w:b w:val="0"/>
          <w:i/>
          <w:noProof w:val="0"/>
          <w:sz w:val="16"/>
          <w:szCs w:val="24"/>
          <w:vertAlign w:val="superscript"/>
          <w:lang w:val="en-GB"/>
        </w:rPr>
        <w:t>1</w:t>
      </w:r>
      <w:r w:rsidR="009876FC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University</w:t>
      </w:r>
      <w:r w:rsidR="00D246A9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 xml:space="preserve">, </w:t>
      </w:r>
      <w:r w:rsidR="009876FC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Department</w:t>
      </w:r>
      <w:r w:rsidR="00D246A9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 xml:space="preserve">, </w:t>
      </w:r>
      <w:r w:rsidR="001E2ABB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City, Country</w:t>
      </w:r>
    </w:p>
    <w:p w14:paraId="5F380AB5" w14:textId="679315FF" w:rsidR="001E2ABB" w:rsidRPr="00111104" w:rsidRDefault="007B56EB" w:rsidP="001E2ABB">
      <w:pPr>
        <w:pStyle w:val="Titleofthepaper"/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</w:pPr>
      <w:r w:rsidRPr="00111104">
        <w:rPr>
          <w:rFonts w:ascii="Times New Roman" w:hAnsi="Times New Roman"/>
          <w:b w:val="0"/>
          <w:i/>
          <w:noProof w:val="0"/>
          <w:sz w:val="16"/>
          <w:szCs w:val="24"/>
          <w:vertAlign w:val="superscript"/>
          <w:lang w:val="en-GB"/>
        </w:rPr>
        <w:t>2</w:t>
      </w:r>
      <w:r w:rsidR="001E2ABB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University, Department, City, Country</w:t>
      </w:r>
    </w:p>
    <w:p w14:paraId="00516446" w14:textId="2A69A4E8" w:rsidR="001E2ABB" w:rsidRDefault="00743389" w:rsidP="001E2ABB">
      <w:pPr>
        <w:pStyle w:val="Titleofthepaper"/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</w:pPr>
      <w:r w:rsidRPr="00111104">
        <w:rPr>
          <w:rFonts w:ascii="Times New Roman" w:hAnsi="Times New Roman"/>
          <w:i/>
          <w:sz w:val="16"/>
          <w:szCs w:val="24"/>
          <w:vertAlign w:val="superscript"/>
          <w:lang w:val="en-GB"/>
        </w:rPr>
        <w:t>3</w:t>
      </w:r>
      <w:r w:rsidR="001E2ABB" w:rsidRPr="00111104"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  <w:t>University, Department, City, Country</w:t>
      </w:r>
    </w:p>
    <w:p w14:paraId="3441FC26" w14:textId="77777777" w:rsidR="00A176D9" w:rsidRPr="00A176D9" w:rsidRDefault="00A176D9" w:rsidP="00A176D9">
      <w:pPr>
        <w:pStyle w:val="AltBilgi"/>
        <w:jc w:val="center"/>
        <w:rPr>
          <w:i/>
          <w:iCs/>
          <w:sz w:val="16"/>
          <w:szCs w:val="16"/>
          <w:lang w:val="en-GB"/>
        </w:rPr>
      </w:pPr>
      <w:r w:rsidRPr="00A176D9">
        <w:rPr>
          <w:i/>
          <w:iCs/>
          <w:sz w:val="16"/>
          <w:szCs w:val="16"/>
          <w:vertAlign w:val="superscript"/>
          <w:lang w:val="en-GB"/>
        </w:rPr>
        <w:t>*</w:t>
      </w:r>
      <w:r w:rsidRPr="00A176D9">
        <w:rPr>
          <w:i/>
          <w:iCs/>
          <w:sz w:val="16"/>
          <w:szCs w:val="16"/>
          <w:lang w:val="en-GB"/>
        </w:rPr>
        <w:t>e-Mail of Corresponding Author</w:t>
      </w:r>
    </w:p>
    <w:p w14:paraId="31E834E5" w14:textId="77777777" w:rsidR="00A176D9" w:rsidRPr="00111104" w:rsidRDefault="00A176D9" w:rsidP="001E2ABB">
      <w:pPr>
        <w:pStyle w:val="Titleofthepaper"/>
        <w:rPr>
          <w:rFonts w:ascii="Times New Roman" w:hAnsi="Times New Roman"/>
          <w:b w:val="0"/>
          <w:i/>
          <w:noProof w:val="0"/>
          <w:sz w:val="16"/>
          <w:szCs w:val="24"/>
          <w:lang w:val="en-GB"/>
        </w:rPr>
      </w:pPr>
    </w:p>
    <w:p w14:paraId="5B0008AB" w14:textId="03FF9DB2" w:rsidR="00C84614" w:rsidRPr="00111104" w:rsidRDefault="00C84614" w:rsidP="001E2ABB">
      <w:pPr>
        <w:pStyle w:val="Titleofthepaper"/>
        <w:rPr>
          <w:i/>
          <w:sz w:val="16"/>
          <w:szCs w:val="24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938"/>
      </w:tblGrid>
      <w:tr w:rsidR="00855D0B" w:rsidRPr="00111104" w14:paraId="4F244997" w14:textId="77777777" w:rsidTr="00855D0B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2B6EC730" w14:textId="77777777" w:rsidR="00E34308" w:rsidRPr="00111104" w:rsidRDefault="00E34308" w:rsidP="00E34308">
            <w:pPr>
              <w:spacing w:before="120"/>
              <w:rPr>
                <w:i/>
                <w:lang w:val="en-GB"/>
              </w:rPr>
            </w:pPr>
            <w:r w:rsidRPr="00111104">
              <w:rPr>
                <w:b/>
                <w:i/>
                <w:lang w:val="en-GB"/>
              </w:rPr>
              <w:t>Keywords:</w:t>
            </w:r>
            <w:r w:rsidRPr="00111104">
              <w:rPr>
                <w:i/>
                <w:lang w:val="en-GB"/>
              </w:rPr>
              <w:t xml:space="preserve"> </w:t>
            </w:r>
          </w:p>
          <w:p w14:paraId="53DC55C0" w14:textId="2B2FFC91" w:rsidR="00E34308" w:rsidRPr="00111104" w:rsidRDefault="00016C11" w:rsidP="00CE6449">
            <w:pPr>
              <w:jc w:val="left"/>
              <w:rPr>
                <w:i/>
                <w:lang w:val="en-GB"/>
              </w:rPr>
            </w:pPr>
            <w:r w:rsidRPr="00111104">
              <w:rPr>
                <w:i/>
                <w:lang w:val="en-GB"/>
              </w:rPr>
              <w:t xml:space="preserve">Include a maximum of </w:t>
            </w:r>
            <w:r w:rsidR="00E34308" w:rsidRPr="00111104">
              <w:rPr>
                <w:i/>
                <w:lang w:val="en-GB"/>
              </w:rPr>
              <w:t>5</w:t>
            </w:r>
            <w:r w:rsidR="00A176D9">
              <w:rPr>
                <w:i/>
                <w:lang w:val="en-GB"/>
              </w:rPr>
              <w:t>,</w:t>
            </w:r>
            <w:r w:rsidR="00CE3C84">
              <w:rPr>
                <w:i/>
                <w:lang w:val="en-GB"/>
              </w:rPr>
              <w:t xml:space="preserve"> </w:t>
            </w:r>
            <w:r w:rsidR="00A176D9">
              <w:rPr>
                <w:i/>
                <w:lang w:val="en-GB"/>
              </w:rPr>
              <w:t>minimum</w:t>
            </w:r>
            <w:r w:rsidR="00CE3C84">
              <w:rPr>
                <w:i/>
                <w:lang w:val="en-GB"/>
              </w:rPr>
              <w:t xml:space="preserve"> of</w:t>
            </w:r>
            <w:r w:rsidR="00CE6449">
              <w:rPr>
                <w:i/>
                <w:lang w:val="en-GB"/>
              </w:rPr>
              <w:t xml:space="preserve"> 3 keywords</w:t>
            </w:r>
          </w:p>
          <w:p w14:paraId="46D2945F" w14:textId="77777777" w:rsidR="00E34308" w:rsidRPr="00111104" w:rsidRDefault="00E34308" w:rsidP="009F46FB">
            <w:pPr>
              <w:jc w:val="left"/>
              <w:rPr>
                <w:i/>
                <w:lang w:val="en-GB"/>
              </w:rPr>
            </w:pPr>
            <w:r w:rsidRPr="00111104">
              <w:rPr>
                <w:i/>
                <w:lang w:val="en-GB"/>
              </w:rPr>
              <w:t>Keyword-1</w:t>
            </w:r>
          </w:p>
          <w:p w14:paraId="1792D063" w14:textId="60EC7B0F" w:rsidR="00E34308" w:rsidRPr="00111104" w:rsidRDefault="00E34308" w:rsidP="009F46FB">
            <w:pPr>
              <w:jc w:val="left"/>
              <w:rPr>
                <w:i/>
                <w:lang w:val="en-GB"/>
              </w:rPr>
            </w:pPr>
            <w:r w:rsidRPr="00111104">
              <w:rPr>
                <w:i/>
                <w:lang w:val="en-GB"/>
              </w:rPr>
              <w:t>Keywor</w:t>
            </w:r>
            <w:r w:rsidR="00AC230B" w:rsidRPr="00111104">
              <w:rPr>
                <w:i/>
                <w:lang w:val="en-GB"/>
              </w:rPr>
              <w:t>d</w:t>
            </w:r>
            <w:r w:rsidRPr="00111104">
              <w:rPr>
                <w:i/>
                <w:lang w:val="en-GB"/>
              </w:rPr>
              <w:t>-2</w:t>
            </w:r>
          </w:p>
          <w:p w14:paraId="5794CC97" w14:textId="77777777" w:rsidR="00855D0B" w:rsidRPr="00111104" w:rsidRDefault="00855D0B" w:rsidP="006B1116">
            <w:pPr>
              <w:jc w:val="left"/>
              <w:rPr>
                <w:b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279A48F" w14:textId="77777777" w:rsidR="00855D0B" w:rsidRPr="00111104" w:rsidRDefault="00855D0B" w:rsidP="00534C47">
            <w:pPr>
              <w:spacing w:after="160" w:line="259" w:lineRule="auto"/>
              <w:jc w:val="left"/>
              <w:rPr>
                <w:b/>
                <w:lang w:val="en-GB"/>
              </w:rPr>
            </w:pPr>
          </w:p>
        </w:tc>
        <w:tc>
          <w:tcPr>
            <w:tcW w:w="6938" w:type="dxa"/>
            <w:tcBorders>
              <w:top w:val="single" w:sz="4" w:space="0" w:color="auto"/>
              <w:bottom w:val="single" w:sz="4" w:space="0" w:color="auto"/>
            </w:tcBorders>
          </w:tcPr>
          <w:p w14:paraId="4F4E8D77" w14:textId="6EC9F0D0" w:rsidR="00E34308" w:rsidRPr="00111104" w:rsidRDefault="00E34308" w:rsidP="00E34308">
            <w:pPr>
              <w:spacing w:before="120"/>
              <w:rPr>
                <w:b/>
                <w:lang w:val="en-GB"/>
              </w:rPr>
            </w:pPr>
            <w:r w:rsidRPr="00111104">
              <w:rPr>
                <w:b/>
                <w:lang w:val="en-GB"/>
              </w:rPr>
              <w:t>Abstract</w:t>
            </w:r>
          </w:p>
          <w:p w14:paraId="253DCE69" w14:textId="603D43C8" w:rsidR="00855D0B" w:rsidRPr="00111104" w:rsidRDefault="00FE3B2A" w:rsidP="00012E6C">
            <w:pPr>
              <w:rPr>
                <w:lang w:val="en-GB"/>
              </w:rPr>
            </w:pPr>
            <w:r>
              <w:rPr>
                <w:lang w:val="en-GB"/>
              </w:rPr>
              <w:t xml:space="preserve">This template is </w:t>
            </w:r>
            <w:r w:rsidR="005C249C" w:rsidRPr="00111104">
              <w:rPr>
                <w:lang w:val="en-GB"/>
              </w:rPr>
              <w:t xml:space="preserve">designed to guide authors in preparing their papers by direct editing. </w:t>
            </w:r>
            <w:r w:rsidR="00777D3D" w:rsidRPr="00111104">
              <w:rPr>
                <w:lang w:val="en-GB"/>
              </w:rPr>
              <w:t xml:space="preserve">Although this template was prepared in word </w:t>
            </w:r>
            <w:r w:rsidR="0045739F">
              <w:rPr>
                <w:lang w:val="en-GB"/>
              </w:rPr>
              <w:t xml:space="preserve">format, a similar format can be </w:t>
            </w:r>
            <w:r w:rsidR="00777D3D" w:rsidRPr="00111104">
              <w:rPr>
                <w:lang w:val="en-GB"/>
              </w:rPr>
              <w:t>used in Latex format under</w:t>
            </w:r>
            <w:r w:rsidR="005C249C" w:rsidRPr="00111104">
              <w:rPr>
                <w:lang w:val="en-GB"/>
              </w:rPr>
              <w:t xml:space="preserve"> the responsibility of authors. </w:t>
            </w:r>
            <w:r w:rsidR="00777D3D" w:rsidRPr="00111104">
              <w:rPr>
                <w:lang w:val="en-GB"/>
              </w:rPr>
              <w:t xml:space="preserve">Abstract </w:t>
            </w:r>
            <w:r w:rsidR="005C249C" w:rsidRPr="00111104">
              <w:rPr>
                <w:lang w:val="en-GB"/>
              </w:rPr>
              <w:t xml:space="preserve">section </w:t>
            </w:r>
            <w:r w:rsidR="00777D3D" w:rsidRPr="00111104">
              <w:rPr>
                <w:lang w:val="en-GB"/>
              </w:rPr>
              <w:t>is limited to</w:t>
            </w:r>
            <w:r w:rsidR="001E2ABB" w:rsidRPr="00111104">
              <w:rPr>
                <w:lang w:val="en-GB"/>
              </w:rPr>
              <w:t xml:space="preserve"> </w:t>
            </w:r>
            <w:r w:rsidR="005C249C" w:rsidRPr="00111104">
              <w:rPr>
                <w:lang w:val="en-GB"/>
              </w:rPr>
              <w:t xml:space="preserve">a maximum of </w:t>
            </w:r>
            <w:r w:rsidR="001E2ABB" w:rsidRPr="00111104">
              <w:rPr>
                <w:lang w:val="en-GB"/>
              </w:rPr>
              <w:t xml:space="preserve">300 words. </w:t>
            </w:r>
          </w:p>
        </w:tc>
      </w:tr>
    </w:tbl>
    <w:p w14:paraId="688A7EA9" w14:textId="77777777" w:rsidR="00855D0B" w:rsidRPr="00111104" w:rsidRDefault="00855D0B" w:rsidP="00F22016">
      <w:pPr>
        <w:rPr>
          <w:b/>
          <w:lang w:val="en-GB"/>
        </w:rPr>
        <w:sectPr w:rsidR="00855D0B" w:rsidRPr="00111104" w:rsidSect="0007763D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0A0335E" w14:textId="77777777" w:rsidR="00111104" w:rsidRDefault="00111104" w:rsidP="00A61A0B"/>
    <w:p w14:paraId="7EC048BE" w14:textId="20C5B7C2" w:rsidR="00111104" w:rsidRDefault="009876FC" w:rsidP="00FE3B2A">
      <w:pPr>
        <w:pStyle w:val="Balk1"/>
      </w:pPr>
      <w:r w:rsidRPr="00111104">
        <w:t>Introductıon</w:t>
      </w:r>
      <w:r w:rsidR="00DA73D6" w:rsidRPr="00111104">
        <w:t xml:space="preserve"> </w:t>
      </w:r>
    </w:p>
    <w:p w14:paraId="5C2755C8" w14:textId="77777777" w:rsidR="008A4826" w:rsidRPr="008A4826" w:rsidRDefault="008A4826" w:rsidP="00FE3B2A">
      <w:pPr>
        <w:rPr>
          <w:lang w:val="en-GB"/>
        </w:rPr>
      </w:pPr>
    </w:p>
    <w:p w14:paraId="6BE78976" w14:textId="07AC1C8E" w:rsidR="001E2ABB" w:rsidRDefault="00C651A0" w:rsidP="00FE3B2A">
      <w:pPr>
        <w:rPr>
          <w:lang w:val="en-GB"/>
        </w:rPr>
      </w:pPr>
      <w:r w:rsidRPr="00111104">
        <w:rPr>
          <w:lang w:val="en-GB"/>
        </w:rPr>
        <w:t xml:space="preserve">The paper size must be customized to A4 size paper. </w:t>
      </w:r>
      <w:r w:rsidR="00F5757B" w:rsidRPr="00111104">
        <w:rPr>
          <w:lang w:val="en-GB"/>
        </w:rPr>
        <w:t xml:space="preserve">The paper must be written in English. </w:t>
      </w:r>
      <w:r w:rsidRPr="00111104">
        <w:rPr>
          <w:lang w:val="en-GB"/>
        </w:rPr>
        <w:t>The page setup must be adjusted such that all margins are 2.5 cm. The body text should be aligned to “justified” style and line spacing must be single</w:t>
      </w:r>
      <w:r w:rsidR="00F5757B" w:rsidRPr="00111104">
        <w:rPr>
          <w:lang w:val="en-GB"/>
        </w:rPr>
        <w:t>.</w:t>
      </w:r>
      <w:r w:rsidR="001E2ABB" w:rsidRPr="00111104">
        <w:rPr>
          <w:lang w:val="en-GB"/>
        </w:rPr>
        <w:t xml:space="preserve"> </w:t>
      </w:r>
      <w:r w:rsidR="006E18A2" w:rsidRPr="00111104">
        <w:rPr>
          <w:lang w:val="en-GB"/>
        </w:rPr>
        <w:t>Font t</w:t>
      </w:r>
      <w:r w:rsidR="00B84988" w:rsidRPr="00111104">
        <w:rPr>
          <w:lang w:val="en-GB"/>
        </w:rPr>
        <w:t>ype Times New Roman</w:t>
      </w:r>
      <w:r w:rsidR="00B84988" w:rsidRPr="00E858ED">
        <w:rPr>
          <w:lang w:val="en-GB"/>
        </w:rPr>
        <w:t xml:space="preserve">, size 10 </w:t>
      </w:r>
      <w:r w:rsidR="008A4826" w:rsidRPr="00E858ED">
        <w:rPr>
          <w:lang w:val="en-GB"/>
        </w:rPr>
        <w:t>pt.</w:t>
      </w:r>
      <w:r w:rsidR="006E18A2" w:rsidRPr="00111104">
        <w:rPr>
          <w:lang w:val="en-GB"/>
        </w:rPr>
        <w:t xml:space="preserve"> should be used throughout the whole text</w:t>
      </w:r>
      <w:r w:rsidR="00C5253B" w:rsidRPr="00111104">
        <w:rPr>
          <w:lang w:val="en-GB"/>
        </w:rPr>
        <w:t xml:space="preserve"> (except section headings)</w:t>
      </w:r>
      <w:r w:rsidR="006E18A2" w:rsidRPr="00111104">
        <w:rPr>
          <w:lang w:val="en-GB"/>
        </w:rPr>
        <w:t xml:space="preserve">.  </w:t>
      </w:r>
      <w:r w:rsidR="00F5757B" w:rsidRPr="00111104">
        <w:rPr>
          <w:lang w:val="en-GB"/>
        </w:rPr>
        <w:t>Page numbering will be issued at the final publishing stage. Therefore, paper should not contain any page number. There is a mini</w:t>
      </w:r>
      <w:r w:rsidR="006E18A2" w:rsidRPr="00111104">
        <w:rPr>
          <w:lang w:val="en-GB"/>
        </w:rPr>
        <w:t xml:space="preserve">mum limit of page length with 4 </w:t>
      </w:r>
      <w:r w:rsidR="00F5757B" w:rsidRPr="00111104">
        <w:rPr>
          <w:lang w:val="en-GB"/>
        </w:rPr>
        <w:t>page</w:t>
      </w:r>
      <w:r w:rsidR="006E18A2" w:rsidRPr="00111104">
        <w:rPr>
          <w:lang w:val="en-GB"/>
        </w:rPr>
        <w:t xml:space="preserve">s. Papers with less than 4 </w:t>
      </w:r>
      <w:r w:rsidR="00F5757B" w:rsidRPr="00111104">
        <w:rPr>
          <w:lang w:val="en-GB"/>
        </w:rPr>
        <w:t>page</w:t>
      </w:r>
      <w:r w:rsidR="006E18A2" w:rsidRPr="00111104">
        <w:rPr>
          <w:lang w:val="en-GB"/>
        </w:rPr>
        <w:t>s</w:t>
      </w:r>
      <w:r w:rsidR="00F5757B" w:rsidRPr="00111104">
        <w:rPr>
          <w:lang w:val="en-GB"/>
        </w:rPr>
        <w:t xml:space="preserve"> will be directly rejected, and there is no restriction for upper limit (including figures, tables and references). </w:t>
      </w:r>
      <w:r w:rsidR="001E2ABB" w:rsidRPr="00111104">
        <w:rPr>
          <w:lang w:val="en-GB"/>
        </w:rPr>
        <w:t>The deadline for uploading</w:t>
      </w:r>
      <w:r w:rsidR="00972019" w:rsidRPr="00111104">
        <w:rPr>
          <w:lang w:val="en-GB"/>
        </w:rPr>
        <w:t xml:space="preserve"> the full-length paper can be seen </w:t>
      </w:r>
      <w:r w:rsidR="001E2ABB" w:rsidRPr="00111104">
        <w:rPr>
          <w:lang w:val="en-GB"/>
        </w:rPr>
        <w:t>at the conference website. The organizers do not commi</w:t>
      </w:r>
      <w:r w:rsidR="00B84988" w:rsidRPr="00111104">
        <w:rPr>
          <w:lang w:val="en-GB"/>
        </w:rPr>
        <w:t>t themselves to include in the p</w:t>
      </w:r>
      <w:r w:rsidR="001E2ABB" w:rsidRPr="00111104">
        <w:rPr>
          <w:lang w:val="en-GB"/>
        </w:rPr>
        <w:t>roceedings any paper received later than this deadline. At least one of the authors must register and pay his/her registration fee before the deadline for their paper to be includ</w:t>
      </w:r>
      <w:r w:rsidR="00B84988" w:rsidRPr="00111104">
        <w:rPr>
          <w:lang w:val="en-GB"/>
        </w:rPr>
        <w:t>ed in the final program of the c</w:t>
      </w:r>
      <w:r w:rsidR="001E2ABB" w:rsidRPr="00111104">
        <w:rPr>
          <w:lang w:val="en-GB"/>
        </w:rPr>
        <w:t>onference.</w:t>
      </w:r>
      <w:r w:rsidRPr="00111104">
        <w:rPr>
          <w:lang w:val="en-GB"/>
        </w:rPr>
        <w:t xml:space="preserve"> </w:t>
      </w:r>
      <w:r w:rsidR="00F5757B" w:rsidRPr="00111104">
        <w:rPr>
          <w:lang w:val="en-GB"/>
        </w:rPr>
        <w:t>The file should be converted into Portable Document Format (PDF) for final submission. Authors must upload the PDF file wit</w:t>
      </w:r>
      <w:r w:rsidR="00B84988" w:rsidRPr="00111104">
        <w:rPr>
          <w:lang w:val="en-GB"/>
        </w:rPr>
        <w:t>h a correct format through the c</w:t>
      </w:r>
      <w:r w:rsidR="00F5757B" w:rsidRPr="00111104">
        <w:rPr>
          <w:lang w:val="en-GB"/>
        </w:rPr>
        <w:t>onference website.</w:t>
      </w:r>
    </w:p>
    <w:p w14:paraId="70D03406" w14:textId="7E68AC1C" w:rsidR="00271145" w:rsidRDefault="00271145" w:rsidP="00FE3B2A">
      <w:pPr>
        <w:rPr>
          <w:lang w:val="en-GB"/>
        </w:rPr>
      </w:pPr>
    </w:p>
    <w:p w14:paraId="109F9799" w14:textId="06C3A1BD" w:rsidR="00271145" w:rsidRDefault="00271145" w:rsidP="00271145">
      <w:pPr>
        <w:pStyle w:val="Balk2"/>
      </w:pPr>
      <w:r>
        <w:t>Citing in the Text</w:t>
      </w:r>
    </w:p>
    <w:p w14:paraId="1A208AB5" w14:textId="77777777" w:rsidR="00271145" w:rsidRPr="00271145" w:rsidRDefault="00271145" w:rsidP="00271145">
      <w:pPr>
        <w:rPr>
          <w:lang w:val="en-GB"/>
        </w:rPr>
      </w:pPr>
    </w:p>
    <w:p w14:paraId="5F16F0CF" w14:textId="282AA333" w:rsidR="00271145" w:rsidRPr="00271145" w:rsidRDefault="00271145" w:rsidP="00271145">
      <w:pPr>
        <w:rPr>
          <w:lang w:val="en-GB"/>
        </w:rPr>
      </w:pPr>
      <w:r w:rsidRPr="00271145">
        <w:rPr>
          <w:lang w:val="en-GB"/>
        </w:rPr>
        <w:t>Here are some examples of this kind of referencing:</w:t>
      </w:r>
    </w:p>
    <w:p w14:paraId="51F76ABE" w14:textId="77777777" w:rsidR="00813AF2" w:rsidRDefault="00271145" w:rsidP="00271145">
      <w:pPr>
        <w:rPr>
          <w:lang w:val="en-GB"/>
        </w:rPr>
      </w:pPr>
      <w:r w:rsidRPr="00271145">
        <w:rPr>
          <w:lang w:val="en-GB"/>
        </w:rPr>
        <w:t>...end of the line for my research</w:t>
      </w:r>
      <w:r>
        <w:rPr>
          <w:lang w:val="en-GB"/>
        </w:rPr>
        <w:t xml:space="preserve"> </w:t>
      </w:r>
      <w:r w:rsidRPr="00111104">
        <w:rPr>
          <w:lang w:val="en-GB"/>
        </w:rPr>
        <w:fldChar w:fldCharType="begin" w:fldLock="1"/>
      </w:r>
      <w:r w:rsidRPr="00111104">
        <w:rPr>
          <w:lang w:val="en-GB"/>
        </w:rPr>
        <w:instrText>ADDIN CSL_CITATION {"citationItems":[{"id":"ITEM-1","itemData":{"DOI":"10.1016/j.enconman.2018.04.103","ISSN":"01968904","author":[{"dropping-particle":"","family":"Özahi","given":"Emrah","non-dropping-particle":"","parse-names":false,"suffix":""},{"dropping-particle":"","family":"Tozlu","given":"Alperen","non-dropping-particle":"","parse-names":false,"suffix":""},{"dropping-particle":"","family":"Abuşoğlu","given":"Ayşegül","non-dropping-particle":"","parse-names":false,"suffix":""}],"container-title":"Energy Conversion and Management","id":"ITEM-1","issued":{"date-parts":[["2018","7"]]},"page":"308-319","title":"Thermoeconomic multi-objective optimization of an organic Rankine cycle (ORC) adapted to an existing solid waste power plant","type":"article-journal","volume":"168"},"uris":["http://www.mendeley.com/documents/?uuid=26501ae1-1a50-4c1c-979e-f7f956327905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Pr="00111104">
        <w:rPr>
          <w:lang w:val="en-GB"/>
        </w:rPr>
        <w:fldChar w:fldCharType="separate"/>
      </w:r>
      <w:r w:rsidRPr="00111104">
        <w:rPr>
          <w:noProof/>
          <w:lang w:val="en-GB"/>
        </w:rPr>
        <w:t>[1]</w:t>
      </w:r>
      <w:r w:rsidRPr="00111104">
        <w:rPr>
          <w:lang w:val="en-GB"/>
        </w:rPr>
        <w:fldChar w:fldCharType="end"/>
      </w:r>
      <w:r>
        <w:rPr>
          <w:lang w:val="en-GB"/>
        </w:rPr>
        <w:t xml:space="preserve">. </w:t>
      </w:r>
    </w:p>
    <w:p w14:paraId="345A058C" w14:textId="77777777" w:rsidR="00813AF2" w:rsidRDefault="00271145" w:rsidP="00271145">
      <w:pPr>
        <w:rPr>
          <w:lang w:val="en-GB"/>
        </w:rPr>
      </w:pPr>
      <w:r w:rsidRPr="00271145">
        <w:rPr>
          <w:lang w:val="en-GB"/>
        </w:rPr>
        <w:t xml:space="preserve">Several recent studies </w:t>
      </w:r>
      <w:r w:rsidRPr="00111104">
        <w:rPr>
          <w:lang w:val="en-GB"/>
        </w:rPr>
        <w:fldChar w:fldCharType="begin" w:fldLock="1"/>
      </w:r>
      <w:r w:rsidRPr="00111104">
        <w:rPr>
          <w:lang w:val="en-GB"/>
        </w:rPr>
        <w:instrText>ADDIN CSL_CITATION {"citationItems":[{"id":"ITEM-1","itemData":{"DOI":"10.1057/978-0-230-34474-7","ISBN":"978-0-230-27548-5","author":[{"dropping-particle":"","family":"Stroud","given":"K.A.","non-dropping-particle":"","parse-names":false,"suffix":""},{"dropping-particle":"","family":"Booth","given":"Dexter","non-dropping-particle":"","parse-names":false,"suffix":""}],"id":"ITEM-1","issued":{"date-parts":[["2011","5","22"]]},"publisher":"Macmillan Education UK","publisher-place":"London","title":"Advanced Engineering Mathematics","type":"book"},"uris":["http://www.mendeley.com/documents/?uuid=50ee7c7a-51ca-4893-aff9-5bef4eff511a"]},{"id":"ITEM-2","itemData":{"DOI":"10.1109/BMEI.2008.242","ISBN":"978-0-7695-3118-2","ISSN":"01681656","author":[{"dropping-particle":"","family":"Xu","given":"Hengyi","non-dropping-particle":"","parse-names":false,"suffix":""},{"dropping-particle":"","family":"Tian","given":"Wanhong","non-dropping-particle":"","parse-names":false,"suffix":""},{"dropping-particle":"","family":"Jia","given":"Lijun","non-dropping-particle":"","parse-names":false,"suffix":""},{"dropping-particle":"","family":"Cheng","given":"Bocai","non-dropping-particle":"","parse-names":false,"suffix":""},{"dropping-particle":"","family":"Wei","given":"Hua","non-dropping-particle":"","parse-names":false,"suffix":""},{"dropping-particle":"","family":"Wang","given":"Lanyin","non-dropping-particle":"","parse-names":false,"suffix":""},{"dropping-particle":"","family":"Wan","given":"Cuixiang","non-dropping-particle":"","parse-names":false,"suffix":""},{"dropping-particle":"","family":"Zeng","given":"Ming","non-dropping-particle":"","parse-names":false,"suffix":""}],"container-title":"2008 International Conference on BioMedical Engineering and Informatics","id":"ITEM-2","issued":{"date-parts":[["2008","5"]]},"page":"838-842","publisher":"IEEE","title":"Antibiotic Susceptibility of Potential Probiotic Lactobacilli Isolated from the Vagina of Chinese Pregnant Women","type":"paper-conference","volume":"231"},"uris":["http://www.mendeley.com/documents/?uuid=3a30a3dc-37e7-482a-89b1-4cc1a37cd6b9"]}],"mendeley":{"formattedCitation":"[2], [3]","manualFormatting":"[2, 3]","plainTextFormattedCitation":"[2], [3]","previouslyFormattedCitation":"[2], [3]"},"properties":{"noteIndex":0},"schema":"https://github.com/citation-style-language/schema/raw/master/csl-citation.json"}</w:instrText>
      </w:r>
      <w:r w:rsidRPr="00111104">
        <w:rPr>
          <w:lang w:val="en-GB"/>
        </w:rPr>
        <w:fldChar w:fldCharType="separate"/>
      </w:r>
      <w:r w:rsidRPr="00111104">
        <w:rPr>
          <w:noProof/>
          <w:lang w:val="en-GB"/>
        </w:rPr>
        <w:t>[2, 3]</w:t>
      </w:r>
      <w:r w:rsidRPr="00111104">
        <w:rPr>
          <w:lang w:val="en-GB"/>
        </w:rPr>
        <w:fldChar w:fldCharType="end"/>
      </w:r>
      <w:r>
        <w:rPr>
          <w:lang w:val="en-GB"/>
        </w:rPr>
        <w:t xml:space="preserve"> </w:t>
      </w:r>
      <w:r w:rsidRPr="00271145">
        <w:rPr>
          <w:lang w:val="en-GB"/>
        </w:rPr>
        <w:t>have suggested that...</w:t>
      </w:r>
      <w:r>
        <w:rPr>
          <w:lang w:val="en-GB"/>
        </w:rPr>
        <w:t xml:space="preserve"> </w:t>
      </w:r>
    </w:p>
    <w:p w14:paraId="2B9BACCA" w14:textId="44F87057" w:rsidR="00271145" w:rsidRDefault="00813AF2" w:rsidP="00271145">
      <w:pPr>
        <w:rPr>
          <w:lang w:val="en-GB"/>
        </w:rPr>
      </w:pPr>
      <w:r w:rsidRPr="00813AF2">
        <w:rPr>
          <w:lang w:val="en-GB"/>
        </w:rPr>
        <w:t xml:space="preserve">Previous studies have reported .... </w:t>
      </w:r>
      <w:r w:rsidR="00271145" w:rsidRPr="00111104">
        <w:rPr>
          <w:lang w:val="en-GB"/>
        </w:rPr>
        <w:fldChar w:fldCharType="begin" w:fldLock="1"/>
      </w:r>
      <w:r w:rsidR="00271145" w:rsidRPr="00111104">
        <w:rPr>
          <w:lang w:val="en-GB"/>
        </w:rPr>
        <w:instrText>ADDIN CSL_CITATION {"citationItems":[{"id":"ITEM-1","itemData":{"DOI":"10.1016/B978-012683630-1/50020-5","author":[{"dropping-particle":"","family":"Tapley","given":"Byron D.","non-dropping-particle":"","parse-names":false,"suffix":""},{"dropping-particle":"","family":"Schutz","given":"Bob E.","non-dropping-particle":"","parse-names":false,"suffix":""},{"dropping-particle":"","family":"Born","given":"George H.","non-dropping-particle":"","parse-names":false,"suffix":""}],"container-title":"Statistical Orbit Determination","id":"ITEM-1","issued":{"date-parts":[["2004"]]},"page":"1-16","publisher":"Elsevier","title":"Orbit Determination Concepts","type":"chapter"},"uris":["http://www.mendeley.com/documents/?uuid=22b20157-2a5e-43bc-90b6-341032b7bc63"]},{"id":"ITEM-2","itemData":{"DOI":"10.21236/ADA239419","author":[{"dropping-particle":"","family":"McCarthy","given":"John","non-dropping-particle":"","parse-names":false,"suffix":""}],"id":"ITEM-2","issued":{"date-parts":[["1991","8","1"]]},"publisher-place":"Livermore, CA (United States)","title":"Mathematical Theory of Computation","type":"report"},"uris":["http://www.mendeley.com/documents/?uuid=f4fd2ce4-27e9-4a99-8cf0-5e1c5a20606e"]},{"id":"ITEM-3","itemData":{"URL":"https://deprem.afad.gov.tr/deprem-tehlike-haritasi","accessed":{"date-parts":[["2019","2","16"]]},"author":[{"dropping-particle":"","family":"AFAD","given":"","non-dropping-particle":"","parse-names":false,"suffix":""}],"id":"ITEM-3","issued":{"date-parts":[["2019"]]},"title":"Türkiye Deprem Bölgeleri Haritası","type":"webpage"},"uris":["http://www.mendeley.com/documents/?uuid=d432f845-4b07-4744-a476-5dd2960c54a9"]},{"id":"ITEM-4","itemData":{"DOI":"10.31274/rtd-180815-311","author":[{"dropping-particle":"","family":"Niffenegger","given":"Daniel Arvid","non-dropping-particle":"","parse-names":false,"suffix":""}],"id":"ITEM-4","issued":{"date-parts":[["1967"]]},"publisher":"Iowa State University, Digital Repository","publisher-place":"Ames","title":"Determination of seed homogeneity","type":"thesis"},"uris":["http://www.mendeley.com/documents/?uuid=097c053a-c0a6-4b84-a1b9-a164e3312ebd"]},{"id":"ITEM-5","itemData":{"id":"ITEM-5","issued":{"date-parts":[["2019"]]},"number":"19.0","publisher":"Computers &amp; Structures","publisher-place":"CALIFORNIA","title":"SAP2000","type":"article"},"uris":["http://www.mendeley.com/documents/?uuid=553bb631-b9e1-4547-9568-b54f2d7008b4"]}],"mendeley":{"formattedCitation":"[4]–[8]","plainTextFormattedCitation":"[4]–[8]","previouslyFormattedCitation":"[4]–[8]"},"properties":{"noteIndex":0},"schema":"https://github.com/citation-style-language/schema/raw/master/csl-citation.json"}</w:instrText>
      </w:r>
      <w:r w:rsidR="00271145" w:rsidRPr="00111104">
        <w:rPr>
          <w:lang w:val="en-GB"/>
        </w:rPr>
        <w:fldChar w:fldCharType="separate"/>
      </w:r>
      <w:r w:rsidR="00271145" w:rsidRPr="00111104">
        <w:rPr>
          <w:noProof/>
          <w:lang w:val="en-GB"/>
        </w:rPr>
        <w:t>[4–8]</w:t>
      </w:r>
      <w:r w:rsidR="00271145" w:rsidRPr="00111104">
        <w:rPr>
          <w:lang w:val="en-GB"/>
        </w:rPr>
        <w:fldChar w:fldCharType="end"/>
      </w:r>
      <w:r w:rsidR="00271145" w:rsidRPr="00111104">
        <w:rPr>
          <w:lang w:val="en-GB"/>
        </w:rPr>
        <w:t>.</w:t>
      </w:r>
    </w:p>
    <w:p w14:paraId="32E8177E" w14:textId="77777777" w:rsidR="00111104" w:rsidRPr="00111104" w:rsidRDefault="00111104" w:rsidP="00D64BDA">
      <w:pPr>
        <w:rPr>
          <w:lang w:val="en-GB"/>
        </w:rPr>
      </w:pPr>
    </w:p>
    <w:p w14:paraId="263D8FBA" w14:textId="6C12BE5C" w:rsidR="00111104" w:rsidRDefault="009876FC" w:rsidP="00111104">
      <w:pPr>
        <w:pStyle w:val="Balk1"/>
      </w:pPr>
      <w:r w:rsidRPr="008A4826">
        <w:t>Materıal</w:t>
      </w:r>
      <w:r w:rsidRPr="00111104">
        <w:t xml:space="preserve"> and method</w:t>
      </w:r>
    </w:p>
    <w:p w14:paraId="261DAE0F" w14:textId="77777777" w:rsidR="008A4826" w:rsidRPr="008A4826" w:rsidRDefault="008A4826" w:rsidP="008A4826">
      <w:pPr>
        <w:rPr>
          <w:lang w:val="en-GB"/>
        </w:rPr>
      </w:pPr>
    </w:p>
    <w:p w14:paraId="1CE2BD75" w14:textId="4D15D4AB" w:rsidR="00121521" w:rsidRDefault="00FE24D5" w:rsidP="00A60AC2">
      <w:pPr>
        <w:rPr>
          <w:rStyle w:val="tlid-translation"/>
          <w:lang w:val="en-GB"/>
        </w:rPr>
      </w:pPr>
      <w:r w:rsidRPr="00111104">
        <w:rPr>
          <w:rStyle w:val="tlid-translation"/>
          <w:lang w:val="en-GB"/>
        </w:rPr>
        <w:t>Section headings must b</w:t>
      </w:r>
      <w:r w:rsidR="00B84988" w:rsidRPr="00111104">
        <w:rPr>
          <w:rStyle w:val="tlid-translation"/>
          <w:lang w:val="en-GB"/>
        </w:rPr>
        <w:t>e 12</w:t>
      </w:r>
      <w:r w:rsidR="008A4826">
        <w:rPr>
          <w:rStyle w:val="tlid-translation"/>
          <w:lang w:val="en-GB"/>
        </w:rPr>
        <w:t xml:space="preserve"> </w:t>
      </w:r>
      <w:r w:rsidR="00B84988" w:rsidRPr="00111104">
        <w:rPr>
          <w:rStyle w:val="tlid-translation"/>
          <w:lang w:val="en-GB"/>
        </w:rPr>
        <w:t>pt</w:t>
      </w:r>
      <w:r w:rsidRPr="00111104">
        <w:rPr>
          <w:rStyle w:val="tlid-translation"/>
          <w:lang w:val="en-GB"/>
        </w:rPr>
        <w:t>.</w:t>
      </w:r>
      <w:r w:rsidR="00111104" w:rsidRPr="00111104">
        <w:rPr>
          <w:rStyle w:val="tlid-translation"/>
          <w:lang w:val="en-GB"/>
        </w:rPr>
        <w:t xml:space="preserve"> </w:t>
      </w:r>
      <w:r w:rsidR="00F95CF1" w:rsidRPr="00111104">
        <w:rPr>
          <w:rStyle w:val="tlid-translation"/>
          <w:lang w:val="en-GB"/>
        </w:rPr>
        <w:t>Any indent shouldn't be</w:t>
      </w:r>
      <w:r w:rsidR="00972019" w:rsidRPr="00111104">
        <w:rPr>
          <w:rStyle w:val="tlid-translation"/>
          <w:lang w:val="en-GB"/>
        </w:rPr>
        <w:t xml:space="preserve"> located</w:t>
      </w:r>
      <w:r w:rsidR="00F95CF1" w:rsidRPr="00111104">
        <w:rPr>
          <w:rStyle w:val="tlid-translation"/>
          <w:lang w:val="en-GB"/>
        </w:rPr>
        <w:t xml:space="preserve"> in papers. </w:t>
      </w:r>
      <w:r w:rsidR="00972019" w:rsidRPr="00111104">
        <w:rPr>
          <w:rStyle w:val="tlid-translation"/>
          <w:lang w:val="en-GB"/>
        </w:rPr>
        <w:t>T</w:t>
      </w:r>
      <w:r w:rsidR="00121521" w:rsidRPr="00111104">
        <w:rPr>
          <w:rStyle w:val="tlid-translation"/>
          <w:lang w:val="en-GB"/>
        </w:rPr>
        <w:t>here should be one blank line</w:t>
      </w:r>
      <w:r w:rsidR="00972019" w:rsidRPr="00111104">
        <w:rPr>
          <w:rStyle w:val="tlid-translation"/>
          <w:lang w:val="en-GB"/>
        </w:rPr>
        <w:t xml:space="preserve"> between paragraphs</w:t>
      </w:r>
      <w:r w:rsidR="00121521" w:rsidRPr="00111104">
        <w:rPr>
          <w:rStyle w:val="tlid-translation"/>
          <w:lang w:val="en-GB"/>
        </w:rPr>
        <w:t>.</w:t>
      </w:r>
      <w:r w:rsidR="00111104" w:rsidRPr="00111104">
        <w:rPr>
          <w:rStyle w:val="tlid-translation"/>
          <w:lang w:val="en-GB"/>
        </w:rPr>
        <w:t xml:space="preserve"> There should be one blank line before and after an equation and numbered using Arabic numbers in parentheses. Equations should be left-aligned.</w:t>
      </w:r>
      <w:r w:rsidR="008A4826">
        <w:rPr>
          <w:rStyle w:val="tlid-translation"/>
          <w:lang w:val="en-GB"/>
        </w:rPr>
        <w:t xml:space="preserve"> Before and after</w:t>
      </w:r>
      <w:r w:rsidR="00307122">
        <w:rPr>
          <w:rStyle w:val="tlid-translation"/>
          <w:lang w:val="en-GB"/>
        </w:rPr>
        <w:t xml:space="preserve"> any heading, there should be one blank line.</w:t>
      </w:r>
    </w:p>
    <w:p w14:paraId="5E619CAB" w14:textId="219F9CC6" w:rsidR="00BF29D5" w:rsidRPr="00111104" w:rsidRDefault="00BF29D5" w:rsidP="00BF29D5">
      <w:pPr>
        <w:rPr>
          <w:rFonts w:eastAsiaTheme="minorEastAsia"/>
          <w:lang w:val="en-GB"/>
        </w:rPr>
      </w:pPr>
    </w:p>
    <w:p w14:paraId="61C43744" w14:textId="77777777" w:rsidR="00BF29D5" w:rsidRPr="00111104" w:rsidRDefault="00BF29D5" w:rsidP="00BF29D5">
      <w:pPr>
        <w:rPr>
          <w:rFonts w:eastAsiaTheme="minorEastAsia"/>
          <w:lang w:val="en-GB"/>
        </w:rPr>
      </w:pPr>
      <m:oMath>
        <m:r>
          <w:rPr>
            <w:rFonts w:ascii="Cambria Math" w:hAnsi="Cambria Math"/>
            <w:lang w:val="en-GB"/>
          </w:rPr>
          <m:t>σ=E.ε</m:t>
        </m:r>
      </m:oMath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</w:r>
      <w:r w:rsidRPr="00111104">
        <w:rPr>
          <w:rFonts w:eastAsiaTheme="minorEastAsia"/>
          <w:lang w:val="en-GB"/>
        </w:rPr>
        <w:tab/>
        <w:t xml:space="preserve">      (1)</w:t>
      </w:r>
    </w:p>
    <w:p w14:paraId="2375588C" w14:textId="4848883E" w:rsidR="00111104" w:rsidRPr="00111104" w:rsidRDefault="00111104" w:rsidP="00A60AC2">
      <w:pPr>
        <w:rPr>
          <w:rStyle w:val="tlid-translation"/>
          <w:lang w:val="en-GB"/>
        </w:rPr>
      </w:pPr>
    </w:p>
    <w:p w14:paraId="4E83EF05" w14:textId="5BAB38CF" w:rsidR="008A4826" w:rsidRDefault="008A4826" w:rsidP="00271145">
      <w:pPr>
        <w:pStyle w:val="Balk2"/>
        <w:rPr>
          <w:rStyle w:val="tlid-translation"/>
        </w:rPr>
      </w:pPr>
      <w:r w:rsidRPr="008A4826">
        <w:rPr>
          <w:rStyle w:val="tlid-translation"/>
        </w:rPr>
        <w:t>Subsection</w:t>
      </w:r>
      <w:r>
        <w:rPr>
          <w:rStyle w:val="tlid-translation"/>
        </w:rPr>
        <w:t>s</w:t>
      </w:r>
    </w:p>
    <w:p w14:paraId="52AF425A" w14:textId="77777777" w:rsidR="008A4826" w:rsidRPr="008A4826" w:rsidRDefault="008A4826" w:rsidP="008A4826">
      <w:pPr>
        <w:rPr>
          <w:lang w:val="en-GB"/>
        </w:rPr>
      </w:pPr>
    </w:p>
    <w:p w14:paraId="50901A07" w14:textId="3E0D918D" w:rsidR="00A60AC2" w:rsidRDefault="008A4826" w:rsidP="00240019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S</w:t>
      </w:r>
      <w:r w:rsidR="00111104" w:rsidRPr="00111104">
        <w:rPr>
          <w:rFonts w:eastAsiaTheme="minorEastAsia"/>
          <w:lang w:val="en-GB"/>
        </w:rPr>
        <w:t>ubsection head</w:t>
      </w:r>
      <w:r>
        <w:rPr>
          <w:rFonts w:eastAsiaTheme="minorEastAsia"/>
          <w:lang w:val="en-GB"/>
        </w:rPr>
        <w:t xml:space="preserve">ing should be formatted with 10 </w:t>
      </w:r>
      <w:r w:rsidRPr="00111104">
        <w:rPr>
          <w:rFonts w:eastAsiaTheme="minorEastAsia"/>
          <w:lang w:val="en-GB"/>
        </w:rPr>
        <w:t>pt.</w:t>
      </w:r>
      <w:r w:rsidR="00111104" w:rsidRPr="00111104">
        <w:rPr>
          <w:rFonts w:eastAsiaTheme="minorEastAsia"/>
          <w:lang w:val="en-GB"/>
        </w:rPr>
        <w:t xml:space="preserve"> font size and bold style.</w:t>
      </w:r>
      <w:r>
        <w:rPr>
          <w:rFonts w:eastAsiaTheme="minorEastAsia"/>
          <w:lang w:val="en-GB"/>
        </w:rPr>
        <w:t xml:space="preserve"> </w:t>
      </w:r>
    </w:p>
    <w:p w14:paraId="2657F8E2" w14:textId="09348017" w:rsidR="009F49F8" w:rsidRPr="00111104" w:rsidRDefault="009F49F8" w:rsidP="009F49F8">
      <w:pPr>
        <w:rPr>
          <w:rFonts w:eastAsiaTheme="minorEastAsia"/>
          <w:lang w:val="en-GB"/>
        </w:rPr>
      </w:pPr>
      <w:r w:rsidRPr="00111104">
        <w:rPr>
          <w:rFonts w:eastAsiaTheme="minorEastAsia"/>
          <w:lang w:val="en-GB"/>
        </w:rPr>
        <w:t xml:space="preserve">There should be also one blank line before and after figures and tables. </w:t>
      </w:r>
      <w:r w:rsidR="00FE24D5" w:rsidRPr="00111104">
        <w:rPr>
          <w:rFonts w:eastAsiaTheme="minorEastAsia"/>
          <w:lang w:val="en-GB"/>
        </w:rPr>
        <w:t>Captions</w:t>
      </w:r>
      <w:r w:rsidR="003A7CF4">
        <w:rPr>
          <w:rFonts w:eastAsiaTheme="minorEastAsia"/>
          <w:lang w:val="en-GB"/>
        </w:rPr>
        <w:t>,</w:t>
      </w:r>
      <w:r w:rsidR="00111104" w:rsidRPr="00111104">
        <w:rPr>
          <w:rFonts w:eastAsiaTheme="minorEastAsia"/>
          <w:lang w:val="en-GB"/>
        </w:rPr>
        <w:t xml:space="preserve"> figures</w:t>
      </w:r>
      <w:r w:rsidR="003A7CF4">
        <w:rPr>
          <w:rFonts w:eastAsiaTheme="minorEastAsia"/>
          <w:lang w:val="en-GB"/>
        </w:rPr>
        <w:t xml:space="preserve"> and tables</w:t>
      </w:r>
      <w:r w:rsidR="00FE24D5" w:rsidRPr="00111104">
        <w:rPr>
          <w:rFonts w:eastAsiaTheme="minorEastAsia"/>
          <w:lang w:val="en-GB"/>
        </w:rPr>
        <w:t xml:space="preserve"> should be aligned to middle</w:t>
      </w:r>
      <w:r w:rsidR="00111104" w:rsidRPr="00111104">
        <w:rPr>
          <w:rFonts w:eastAsiaTheme="minorEastAsia"/>
          <w:lang w:val="en-GB"/>
        </w:rPr>
        <w:t xml:space="preserve"> of </w:t>
      </w:r>
      <w:r w:rsidR="003A7CF4">
        <w:rPr>
          <w:rFonts w:eastAsiaTheme="minorEastAsia"/>
          <w:lang w:val="en-GB"/>
        </w:rPr>
        <w:t xml:space="preserve">the </w:t>
      </w:r>
      <w:r w:rsidR="00111104" w:rsidRPr="00111104">
        <w:rPr>
          <w:rFonts w:eastAsiaTheme="minorEastAsia"/>
          <w:lang w:val="en-GB"/>
        </w:rPr>
        <w:t>page.</w:t>
      </w:r>
      <w:r w:rsidR="003A7CF4">
        <w:rPr>
          <w:rFonts w:eastAsiaTheme="minorEastAsia"/>
          <w:lang w:val="en-GB"/>
        </w:rPr>
        <w:t xml:space="preserve"> There is not any restriction font size for texts in table.</w:t>
      </w:r>
    </w:p>
    <w:p w14:paraId="093BE733" w14:textId="77777777" w:rsidR="00111104" w:rsidRPr="00111104" w:rsidRDefault="00111104" w:rsidP="009F49F8">
      <w:pPr>
        <w:rPr>
          <w:rFonts w:eastAsiaTheme="minorEastAsia"/>
          <w:i/>
          <w:lang w:val="en-GB"/>
        </w:rPr>
      </w:pPr>
    </w:p>
    <w:p w14:paraId="72C91802" w14:textId="77777777" w:rsidR="009F49F8" w:rsidRPr="00111104" w:rsidRDefault="006E33A0" w:rsidP="009F49F8">
      <w:pPr>
        <w:keepNext/>
        <w:jc w:val="center"/>
        <w:rPr>
          <w:lang w:val="en-GB"/>
        </w:rPr>
      </w:pPr>
      <w:r w:rsidRPr="00111104">
        <w:rPr>
          <w:noProof/>
          <w:lang w:eastAsia="tr-TR"/>
        </w:rPr>
        <w:lastRenderedPageBreak/>
        <w:drawing>
          <wp:inline distT="0" distB="0" distL="0" distR="0" wp14:anchorId="64D3904D" wp14:editId="2F2E2E09">
            <wp:extent cx="1809750" cy="1211737"/>
            <wp:effectExtent l="19050" t="19050" r="19050" b="2667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apak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16" cy="12198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41A163" w14:textId="756A15DC" w:rsidR="00240019" w:rsidRPr="00012E6C" w:rsidRDefault="009F49F8" w:rsidP="009F49F8">
      <w:pPr>
        <w:pStyle w:val="ResimYazs"/>
        <w:jc w:val="center"/>
        <w:rPr>
          <w:sz w:val="20"/>
          <w:lang w:val="en-GB"/>
        </w:rPr>
      </w:pPr>
      <w:r w:rsidRPr="00012E6C">
        <w:rPr>
          <w:b/>
          <w:sz w:val="20"/>
          <w:lang w:val="en-GB"/>
        </w:rPr>
        <w:t>Figure</w:t>
      </w:r>
      <w:r w:rsidR="00CE0CA5" w:rsidRPr="00012E6C">
        <w:rPr>
          <w:b/>
          <w:sz w:val="20"/>
          <w:lang w:val="en-GB"/>
        </w:rPr>
        <w:t xml:space="preserve"> 1.</w:t>
      </w:r>
      <w:r w:rsidR="00CE0CA5" w:rsidRPr="00012E6C">
        <w:rPr>
          <w:sz w:val="20"/>
          <w:lang w:val="en-GB"/>
        </w:rPr>
        <w:t xml:space="preserve"> </w:t>
      </w:r>
      <w:r w:rsidRPr="00012E6C">
        <w:rPr>
          <w:sz w:val="20"/>
          <w:lang w:val="en-GB"/>
        </w:rPr>
        <w:t>Caption of figure</w:t>
      </w:r>
    </w:p>
    <w:p w14:paraId="2F9B7D45" w14:textId="77777777" w:rsidR="00CE0CA5" w:rsidRPr="00111104" w:rsidRDefault="00CE0CA5" w:rsidP="00CE0CA5">
      <w:pPr>
        <w:rPr>
          <w:lang w:val="en-GB"/>
        </w:rPr>
      </w:pPr>
    </w:p>
    <w:p w14:paraId="2A43B815" w14:textId="46528CEC" w:rsidR="00FE24D5" w:rsidRPr="00012E6C" w:rsidRDefault="00CE0CA5" w:rsidP="008A4826">
      <w:pPr>
        <w:pStyle w:val="ResimYazs"/>
        <w:keepNext/>
        <w:spacing w:after="0"/>
        <w:jc w:val="center"/>
        <w:rPr>
          <w:sz w:val="20"/>
          <w:lang w:val="en-GB"/>
        </w:rPr>
      </w:pPr>
      <w:r w:rsidRPr="00012E6C">
        <w:rPr>
          <w:b/>
          <w:sz w:val="20"/>
          <w:lang w:val="en-GB"/>
        </w:rPr>
        <w:t>Table 1.</w:t>
      </w:r>
      <w:r w:rsidR="00FE24D5" w:rsidRPr="00012E6C">
        <w:rPr>
          <w:sz w:val="20"/>
          <w:lang w:val="en-GB"/>
        </w:rPr>
        <w:t xml:space="preserve"> Caption of table</w:t>
      </w:r>
    </w:p>
    <w:tbl>
      <w:tblPr>
        <w:tblStyle w:val="TabloKlavuzu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762"/>
        <w:gridCol w:w="761"/>
        <w:gridCol w:w="636"/>
      </w:tblGrid>
      <w:tr w:rsidR="00001D3A" w:rsidRPr="00111104" w14:paraId="0B7EFD62" w14:textId="77777777" w:rsidTr="001B3D37">
        <w:trPr>
          <w:jc w:val="center"/>
        </w:trPr>
        <w:tc>
          <w:tcPr>
            <w:tcW w:w="1228" w:type="dxa"/>
            <w:vAlign w:val="center"/>
          </w:tcPr>
          <w:p w14:paraId="68E8C340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A</w:t>
            </w:r>
          </w:p>
        </w:tc>
        <w:tc>
          <w:tcPr>
            <w:tcW w:w="762" w:type="dxa"/>
            <w:vAlign w:val="center"/>
            <w:hideMark/>
          </w:tcPr>
          <w:p w14:paraId="44976C0E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X</w:t>
            </w:r>
          </w:p>
        </w:tc>
        <w:tc>
          <w:tcPr>
            <w:tcW w:w="761" w:type="dxa"/>
            <w:vAlign w:val="center"/>
            <w:hideMark/>
          </w:tcPr>
          <w:p w14:paraId="00192DF5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Y</w:t>
            </w:r>
          </w:p>
        </w:tc>
        <w:tc>
          <w:tcPr>
            <w:tcW w:w="636" w:type="dxa"/>
          </w:tcPr>
          <w:p w14:paraId="6104AD73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Z</w:t>
            </w:r>
          </w:p>
        </w:tc>
      </w:tr>
      <w:tr w:rsidR="00001D3A" w:rsidRPr="00111104" w14:paraId="73897F00" w14:textId="77777777" w:rsidTr="001B3D37">
        <w:trPr>
          <w:trHeight w:val="310"/>
          <w:jc w:val="center"/>
        </w:trPr>
        <w:tc>
          <w:tcPr>
            <w:tcW w:w="1228" w:type="dxa"/>
            <w:vAlign w:val="center"/>
          </w:tcPr>
          <w:p w14:paraId="21CB493B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a</w:t>
            </w:r>
          </w:p>
        </w:tc>
        <w:tc>
          <w:tcPr>
            <w:tcW w:w="762" w:type="dxa"/>
          </w:tcPr>
          <w:p w14:paraId="0EC531DB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x</w:t>
            </w:r>
          </w:p>
        </w:tc>
        <w:tc>
          <w:tcPr>
            <w:tcW w:w="761" w:type="dxa"/>
          </w:tcPr>
          <w:p w14:paraId="3E1654BB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y</w:t>
            </w:r>
          </w:p>
        </w:tc>
        <w:tc>
          <w:tcPr>
            <w:tcW w:w="636" w:type="dxa"/>
          </w:tcPr>
          <w:p w14:paraId="79BD7048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z</w:t>
            </w:r>
          </w:p>
        </w:tc>
      </w:tr>
      <w:tr w:rsidR="00001D3A" w:rsidRPr="00111104" w14:paraId="50FD91D6" w14:textId="77777777" w:rsidTr="001B3D37">
        <w:trPr>
          <w:trHeight w:val="310"/>
          <w:jc w:val="center"/>
        </w:trPr>
        <w:tc>
          <w:tcPr>
            <w:tcW w:w="1228" w:type="dxa"/>
            <w:vAlign w:val="center"/>
          </w:tcPr>
          <w:p w14:paraId="7CDA2526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b</w:t>
            </w:r>
          </w:p>
        </w:tc>
        <w:tc>
          <w:tcPr>
            <w:tcW w:w="762" w:type="dxa"/>
          </w:tcPr>
          <w:p w14:paraId="57D01046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w</w:t>
            </w:r>
          </w:p>
        </w:tc>
        <w:tc>
          <w:tcPr>
            <w:tcW w:w="761" w:type="dxa"/>
          </w:tcPr>
          <w:p w14:paraId="640D35CE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q</w:t>
            </w:r>
          </w:p>
        </w:tc>
        <w:tc>
          <w:tcPr>
            <w:tcW w:w="636" w:type="dxa"/>
          </w:tcPr>
          <w:p w14:paraId="69D5FAA6" w14:textId="77777777" w:rsidR="00001D3A" w:rsidRPr="00111104" w:rsidRDefault="00001D3A" w:rsidP="001B3D37">
            <w:pPr>
              <w:jc w:val="center"/>
              <w:rPr>
                <w:lang w:val="en-GB"/>
              </w:rPr>
            </w:pPr>
            <w:r w:rsidRPr="00111104">
              <w:rPr>
                <w:lang w:val="en-GB"/>
              </w:rPr>
              <w:t>r</w:t>
            </w:r>
          </w:p>
        </w:tc>
      </w:tr>
    </w:tbl>
    <w:p w14:paraId="6B11CEF5" w14:textId="77777777" w:rsidR="00001D3A" w:rsidRPr="00111104" w:rsidRDefault="00001D3A" w:rsidP="00190BCE">
      <w:pPr>
        <w:rPr>
          <w:lang w:val="en-GB"/>
        </w:rPr>
      </w:pPr>
    </w:p>
    <w:p w14:paraId="429141B2" w14:textId="289158C7" w:rsidR="005D1881" w:rsidRDefault="00FE24D5" w:rsidP="008A4826">
      <w:pPr>
        <w:pStyle w:val="Balk1"/>
      </w:pPr>
      <w:r w:rsidRPr="00111104">
        <w:t>Results</w:t>
      </w:r>
    </w:p>
    <w:p w14:paraId="6B079B37" w14:textId="77777777" w:rsidR="008A4826" w:rsidRPr="008A4826" w:rsidRDefault="008A4826" w:rsidP="008A4826">
      <w:pPr>
        <w:rPr>
          <w:lang w:val="en-GB"/>
        </w:rPr>
      </w:pPr>
    </w:p>
    <w:p w14:paraId="3FE1382E" w14:textId="119D2B49" w:rsidR="001F364A" w:rsidRDefault="00FE24D5" w:rsidP="00001D3A">
      <w:pPr>
        <w:rPr>
          <w:lang w:val="en-GB"/>
        </w:rPr>
      </w:pPr>
      <w:r w:rsidRPr="00111104">
        <w:rPr>
          <w:lang w:val="en-GB"/>
        </w:rPr>
        <w:t xml:space="preserve">The results should be clear and concise. </w:t>
      </w:r>
    </w:p>
    <w:p w14:paraId="335D4970" w14:textId="77777777" w:rsidR="008A4826" w:rsidRPr="00111104" w:rsidRDefault="008A4826" w:rsidP="00001D3A">
      <w:pPr>
        <w:rPr>
          <w:lang w:val="en-GB"/>
        </w:rPr>
      </w:pPr>
    </w:p>
    <w:p w14:paraId="70793BE9" w14:textId="1DDA6D6A" w:rsidR="000925C0" w:rsidRPr="00F236D2" w:rsidRDefault="00FE24D5" w:rsidP="008A4826">
      <w:pPr>
        <w:pStyle w:val="Balk1"/>
      </w:pPr>
      <w:r w:rsidRPr="00F236D2">
        <w:t>Conclusion</w:t>
      </w:r>
    </w:p>
    <w:p w14:paraId="5FA44CA7" w14:textId="77777777" w:rsidR="008A4826" w:rsidRPr="00F236D2" w:rsidRDefault="008A4826" w:rsidP="008A4826">
      <w:pPr>
        <w:rPr>
          <w:lang w:val="en-GB"/>
        </w:rPr>
      </w:pPr>
    </w:p>
    <w:p w14:paraId="18280287" w14:textId="7A84B6A3" w:rsidR="00190BCE" w:rsidRPr="00F236D2" w:rsidRDefault="002A689D" w:rsidP="000A7403">
      <w:pPr>
        <w:rPr>
          <w:rStyle w:val="tlid-translation"/>
          <w:lang w:val="en-GB"/>
        </w:rPr>
      </w:pPr>
      <w:r w:rsidRPr="00F236D2">
        <w:rPr>
          <w:rStyle w:val="tlid-translation"/>
          <w:lang w:val="en-GB"/>
        </w:rPr>
        <w:t xml:space="preserve">In this section, the importance and effects of the study should be clearly stated. </w:t>
      </w:r>
      <w:r w:rsidRPr="00F236D2">
        <w:rPr>
          <w:lang w:val="en-GB"/>
        </w:rPr>
        <w:t xml:space="preserve">In the conclusion part, the results should not be repeated. </w:t>
      </w:r>
    </w:p>
    <w:p w14:paraId="7FDCE7DA" w14:textId="77777777" w:rsidR="008A4826" w:rsidRPr="00F236D2" w:rsidRDefault="008A4826" w:rsidP="000A7403">
      <w:pPr>
        <w:rPr>
          <w:lang w:val="en-GB"/>
        </w:rPr>
      </w:pPr>
    </w:p>
    <w:p w14:paraId="0293348F" w14:textId="58B78D68" w:rsidR="008A4826" w:rsidRPr="00F236D2" w:rsidRDefault="009876FC" w:rsidP="008A4826">
      <w:pPr>
        <w:rPr>
          <w:b/>
          <w:sz w:val="24"/>
          <w:szCs w:val="24"/>
          <w:lang w:val="en-GB"/>
        </w:rPr>
      </w:pPr>
      <w:r w:rsidRPr="00F236D2">
        <w:rPr>
          <w:b/>
          <w:sz w:val="24"/>
          <w:szCs w:val="24"/>
          <w:lang w:val="en-GB"/>
        </w:rPr>
        <w:t>Acknowledgments</w:t>
      </w:r>
      <w:r w:rsidR="00DA73D6" w:rsidRPr="00F236D2">
        <w:rPr>
          <w:b/>
          <w:sz w:val="24"/>
          <w:szCs w:val="24"/>
          <w:lang w:val="en-GB"/>
        </w:rPr>
        <w:t xml:space="preserve"> </w:t>
      </w:r>
    </w:p>
    <w:p w14:paraId="14B8A853" w14:textId="77777777" w:rsidR="008A4826" w:rsidRPr="00F236D2" w:rsidRDefault="008A4826" w:rsidP="008A4826">
      <w:pPr>
        <w:rPr>
          <w:lang w:val="en-GB"/>
        </w:rPr>
      </w:pPr>
    </w:p>
    <w:p w14:paraId="0AF0D9F3" w14:textId="4364E131" w:rsidR="00DA73D6" w:rsidRPr="00F236D2" w:rsidRDefault="003A7CF4" w:rsidP="00DA73D6">
      <w:pPr>
        <w:rPr>
          <w:lang w:val="en-GB"/>
        </w:rPr>
      </w:pPr>
      <w:r w:rsidRPr="00F236D2">
        <w:rPr>
          <w:lang w:val="en-GB"/>
        </w:rPr>
        <w:t>You can include your a</w:t>
      </w:r>
      <w:r w:rsidR="00FE24D5" w:rsidRPr="00F236D2">
        <w:rPr>
          <w:lang w:val="en-GB"/>
        </w:rPr>
        <w:t xml:space="preserve">cknowledgments information here. If </w:t>
      </w:r>
      <w:r w:rsidR="000C1C21" w:rsidRPr="00F236D2">
        <w:rPr>
          <w:lang w:val="en-GB"/>
        </w:rPr>
        <w:t>it is</w:t>
      </w:r>
      <w:r w:rsidR="00FE24D5" w:rsidRPr="00F236D2">
        <w:rPr>
          <w:lang w:val="en-GB"/>
        </w:rPr>
        <w:t xml:space="preserve"> not applicable just delete this section.</w:t>
      </w:r>
    </w:p>
    <w:p w14:paraId="06676ACF" w14:textId="77777777" w:rsidR="002A689D" w:rsidRPr="00F236D2" w:rsidRDefault="002A689D" w:rsidP="00DA73D6">
      <w:pPr>
        <w:rPr>
          <w:lang w:val="en-GB"/>
        </w:rPr>
      </w:pPr>
    </w:p>
    <w:p w14:paraId="262D21FC" w14:textId="11D27966" w:rsidR="000925C0" w:rsidRPr="00F236D2" w:rsidRDefault="009876FC" w:rsidP="002A689D">
      <w:pPr>
        <w:rPr>
          <w:b/>
          <w:sz w:val="24"/>
          <w:lang w:val="en-GB"/>
        </w:rPr>
      </w:pPr>
      <w:r w:rsidRPr="00F236D2">
        <w:rPr>
          <w:b/>
          <w:sz w:val="24"/>
          <w:lang w:val="en-GB"/>
        </w:rPr>
        <w:t>References</w:t>
      </w:r>
      <w:r w:rsidR="00DA73D6" w:rsidRPr="00F236D2">
        <w:rPr>
          <w:b/>
          <w:sz w:val="24"/>
          <w:lang w:val="en-GB"/>
        </w:rPr>
        <w:t xml:space="preserve"> </w:t>
      </w:r>
    </w:p>
    <w:p w14:paraId="5287F773" w14:textId="77777777" w:rsidR="002A689D" w:rsidRPr="00F236D2" w:rsidRDefault="002A689D" w:rsidP="002A689D">
      <w:pPr>
        <w:rPr>
          <w:b/>
          <w:sz w:val="24"/>
          <w:lang w:val="en-GB"/>
        </w:rPr>
      </w:pPr>
    </w:p>
    <w:p w14:paraId="42E21957" w14:textId="6FFD1A3E" w:rsidR="00190BCE" w:rsidRPr="00F236D2" w:rsidRDefault="00B46904" w:rsidP="00190BCE">
      <w:pPr>
        <w:rPr>
          <w:lang w:val="en-GB"/>
        </w:rPr>
      </w:pPr>
      <w:r w:rsidRPr="00F236D2">
        <w:rPr>
          <w:lang w:val="en-GB"/>
        </w:rPr>
        <w:t>Use the “IEEE”</w:t>
      </w:r>
      <w:r w:rsidR="00FE24D5" w:rsidRPr="00F236D2">
        <w:rPr>
          <w:lang w:val="en-GB"/>
        </w:rPr>
        <w:t xml:space="preserve"> style</w:t>
      </w:r>
      <w:r w:rsidRPr="00F236D2">
        <w:rPr>
          <w:lang w:val="en-GB"/>
        </w:rPr>
        <w:t xml:space="preserve"> for references.</w:t>
      </w:r>
      <w:r w:rsidR="00F236D2">
        <w:rPr>
          <w:lang w:val="en-GB"/>
        </w:rPr>
        <w:t xml:space="preserve"> </w:t>
      </w:r>
      <w:r w:rsidR="00F236D2" w:rsidRPr="004919B8">
        <w:rPr>
          <w:lang w:val="en-GB"/>
        </w:rPr>
        <w:t xml:space="preserve">Reference management software can be used to create the bibliography (e.g. Mendeley). References can be written manually based on the examples below. </w:t>
      </w:r>
      <w:r w:rsidRPr="00F236D2">
        <w:rPr>
          <w:lang w:val="en-GB"/>
        </w:rPr>
        <w:t xml:space="preserve"> The references are also in 10 pt.</w:t>
      </w:r>
      <w:r w:rsidR="00190BCE" w:rsidRPr="00F236D2">
        <w:rPr>
          <w:lang w:val="en-GB"/>
        </w:rPr>
        <w:t xml:space="preserve"> </w:t>
      </w:r>
    </w:p>
    <w:p w14:paraId="437A2455" w14:textId="77777777" w:rsidR="002A689D" w:rsidRPr="00F236D2" w:rsidRDefault="002A689D" w:rsidP="00190BCE">
      <w:pPr>
        <w:rPr>
          <w:lang w:val="en-GB"/>
        </w:rPr>
      </w:pPr>
    </w:p>
    <w:p w14:paraId="111D5740" w14:textId="44C28029" w:rsidR="00D64BDA" w:rsidRPr="00F236D2" w:rsidRDefault="00D64BDA" w:rsidP="00D64BDA">
      <w:pPr>
        <w:rPr>
          <w:b/>
          <w:lang w:val="en-GB"/>
        </w:rPr>
      </w:pPr>
      <w:r w:rsidRPr="00F236D2">
        <w:rPr>
          <w:b/>
          <w:lang w:val="en-GB"/>
        </w:rPr>
        <w:t>Reference to a journal publication:</w:t>
      </w:r>
    </w:p>
    <w:p w14:paraId="452F600A" w14:textId="77777777" w:rsidR="00CB3E85" w:rsidRPr="00F236D2" w:rsidRDefault="00E26231" w:rsidP="00CB3E85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szCs w:val="24"/>
          <w:lang w:val="en-GB"/>
        </w:rPr>
      </w:pPr>
      <w:r w:rsidRPr="00F236D2">
        <w:rPr>
          <w:b/>
          <w:lang w:val="en-GB"/>
        </w:rPr>
        <w:fldChar w:fldCharType="begin" w:fldLock="1"/>
      </w:r>
      <w:r w:rsidRPr="00F236D2">
        <w:rPr>
          <w:b/>
          <w:lang w:val="en-GB"/>
        </w:rPr>
        <w:instrText xml:space="preserve">ADDIN Mendeley Bibliography CSL_BIBLIOGRAPHY </w:instrText>
      </w:r>
      <w:r w:rsidRPr="00F236D2">
        <w:rPr>
          <w:b/>
          <w:lang w:val="en-GB"/>
        </w:rPr>
        <w:fldChar w:fldCharType="separate"/>
      </w:r>
      <w:r w:rsidR="00CB3E85" w:rsidRPr="00F236D2">
        <w:rPr>
          <w:rFonts w:cs="Times New Roman"/>
          <w:noProof/>
          <w:szCs w:val="24"/>
          <w:lang w:val="en-GB"/>
        </w:rPr>
        <w:t>[1]</w:t>
      </w:r>
      <w:r w:rsidR="00CB3E85" w:rsidRPr="00F236D2">
        <w:rPr>
          <w:rFonts w:cs="Times New Roman"/>
          <w:noProof/>
          <w:szCs w:val="24"/>
          <w:lang w:val="en-GB"/>
        </w:rPr>
        <w:tab/>
        <w:t xml:space="preserve">E. Özahi, A. Tozlu, and A. Abuşoğlu, “Thermoeconomic multi-objective optimization of an organic Rankine cycle (ORC) adapted to an existing solid waste power plant,” </w:t>
      </w:r>
      <w:r w:rsidR="00CB3E85" w:rsidRPr="00F236D2">
        <w:rPr>
          <w:rFonts w:cs="Times New Roman"/>
          <w:i/>
          <w:iCs/>
          <w:noProof/>
          <w:szCs w:val="24"/>
          <w:lang w:val="en-GB"/>
        </w:rPr>
        <w:t>Energy Convers. Manag.</w:t>
      </w:r>
      <w:r w:rsidR="00CB3E85" w:rsidRPr="00F236D2">
        <w:rPr>
          <w:rFonts w:cs="Times New Roman"/>
          <w:noProof/>
          <w:szCs w:val="24"/>
          <w:lang w:val="en-GB"/>
        </w:rPr>
        <w:t>, vol. 168, pp. 308–319, Jul. 2018.</w:t>
      </w:r>
    </w:p>
    <w:p w14:paraId="3A0EB242" w14:textId="796D4FFF" w:rsidR="000E38D6" w:rsidRPr="00F236D2" w:rsidRDefault="000E38D6" w:rsidP="003A7CF4">
      <w:pPr>
        <w:widowControl w:val="0"/>
        <w:autoSpaceDE w:val="0"/>
        <w:autoSpaceDN w:val="0"/>
        <w:adjustRightInd w:val="0"/>
        <w:ind w:left="641" w:hanging="641"/>
        <w:rPr>
          <w:rFonts w:cs="Times New Roman"/>
          <w:b/>
          <w:noProof/>
          <w:szCs w:val="24"/>
          <w:lang w:val="en-GB"/>
        </w:rPr>
      </w:pPr>
      <w:r w:rsidRPr="00F236D2">
        <w:rPr>
          <w:rFonts w:cs="Times New Roman"/>
          <w:b/>
          <w:noProof/>
          <w:szCs w:val="24"/>
          <w:lang w:val="en-GB"/>
        </w:rPr>
        <w:t>Reference to a book:</w:t>
      </w:r>
    </w:p>
    <w:p w14:paraId="45843B58" w14:textId="23CC08A2" w:rsidR="00CB3E85" w:rsidRPr="00F236D2" w:rsidRDefault="00CB3E85" w:rsidP="00CB3E85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szCs w:val="24"/>
          <w:lang w:val="en-GB"/>
        </w:rPr>
      </w:pPr>
      <w:r w:rsidRPr="00F236D2">
        <w:rPr>
          <w:rFonts w:cs="Times New Roman"/>
          <w:noProof/>
          <w:szCs w:val="24"/>
          <w:lang w:val="en-GB"/>
        </w:rPr>
        <w:t>[2]</w:t>
      </w:r>
      <w:r w:rsidRPr="00F236D2">
        <w:rPr>
          <w:rFonts w:cs="Times New Roman"/>
          <w:noProof/>
          <w:szCs w:val="24"/>
          <w:lang w:val="en-GB"/>
        </w:rPr>
        <w:tab/>
        <w:t xml:space="preserve">K. A. Stroud and D. Booth, </w:t>
      </w:r>
      <w:r w:rsidRPr="00F236D2">
        <w:rPr>
          <w:rFonts w:cs="Times New Roman"/>
          <w:i/>
          <w:iCs/>
          <w:noProof/>
          <w:szCs w:val="24"/>
          <w:lang w:val="en-GB"/>
        </w:rPr>
        <w:t>Advanced Engineering Mathematics</w:t>
      </w:r>
      <w:r w:rsidRPr="00F236D2">
        <w:rPr>
          <w:rFonts w:cs="Times New Roman"/>
          <w:noProof/>
          <w:szCs w:val="24"/>
          <w:lang w:val="en-GB"/>
        </w:rPr>
        <w:t>. London: Macmillan Education UK, 2011.</w:t>
      </w:r>
    </w:p>
    <w:p w14:paraId="6573EE17" w14:textId="5B4B7713" w:rsidR="000E38D6" w:rsidRPr="00F236D2" w:rsidRDefault="000E38D6" w:rsidP="003A7CF4">
      <w:pPr>
        <w:widowControl w:val="0"/>
        <w:autoSpaceDE w:val="0"/>
        <w:autoSpaceDN w:val="0"/>
        <w:adjustRightInd w:val="0"/>
        <w:ind w:left="641" w:hanging="641"/>
        <w:rPr>
          <w:rFonts w:cs="Times New Roman"/>
          <w:b/>
          <w:noProof/>
          <w:szCs w:val="24"/>
          <w:lang w:val="en-GB"/>
        </w:rPr>
      </w:pPr>
      <w:r w:rsidRPr="00F236D2">
        <w:rPr>
          <w:rFonts w:cs="Times New Roman"/>
          <w:b/>
          <w:noProof/>
          <w:szCs w:val="24"/>
          <w:lang w:val="en-GB"/>
        </w:rPr>
        <w:t>Reference to a conference paper:</w:t>
      </w:r>
    </w:p>
    <w:p w14:paraId="7CE58564" w14:textId="7923F635" w:rsidR="00CB3E85" w:rsidRPr="00F236D2" w:rsidRDefault="00CB3E85" w:rsidP="00CB3E85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szCs w:val="24"/>
          <w:lang w:val="en-GB"/>
        </w:rPr>
      </w:pPr>
      <w:r w:rsidRPr="00F236D2">
        <w:rPr>
          <w:rFonts w:cs="Times New Roman"/>
          <w:noProof/>
          <w:szCs w:val="24"/>
          <w:lang w:val="en-GB"/>
        </w:rPr>
        <w:t>[3]</w:t>
      </w:r>
      <w:r w:rsidRPr="00F236D2">
        <w:rPr>
          <w:rFonts w:cs="Times New Roman"/>
          <w:noProof/>
          <w:szCs w:val="24"/>
          <w:lang w:val="en-GB"/>
        </w:rPr>
        <w:tab/>
        <w:t xml:space="preserve">H. Xu </w:t>
      </w:r>
      <w:r w:rsidRPr="00F236D2">
        <w:rPr>
          <w:rFonts w:cs="Times New Roman"/>
          <w:i/>
          <w:iCs/>
          <w:noProof/>
          <w:szCs w:val="24"/>
          <w:lang w:val="en-GB"/>
        </w:rPr>
        <w:t>et al.</w:t>
      </w:r>
      <w:r w:rsidRPr="00F236D2">
        <w:rPr>
          <w:rFonts w:cs="Times New Roman"/>
          <w:noProof/>
          <w:szCs w:val="24"/>
          <w:lang w:val="en-GB"/>
        </w:rPr>
        <w:t xml:space="preserve">, “Antibiotic Susceptibility of Potential Probiotic Lactobacilli Isolated from the Vagina of Chinese Pregnant Women,” in </w:t>
      </w:r>
      <w:r w:rsidRPr="00F236D2">
        <w:rPr>
          <w:rFonts w:cs="Times New Roman"/>
          <w:i/>
          <w:iCs/>
          <w:noProof/>
          <w:szCs w:val="24"/>
          <w:lang w:val="en-GB"/>
        </w:rPr>
        <w:t>2008 International Conference on BioMedical Engineering and Informatics</w:t>
      </w:r>
      <w:r w:rsidRPr="00F236D2">
        <w:rPr>
          <w:rFonts w:cs="Times New Roman"/>
          <w:noProof/>
          <w:szCs w:val="24"/>
          <w:lang w:val="en-GB"/>
        </w:rPr>
        <w:t>, 2008, vol. 231, pp. 838–842.</w:t>
      </w:r>
    </w:p>
    <w:p w14:paraId="73A93514" w14:textId="3D593346" w:rsidR="000E38D6" w:rsidRPr="00F236D2" w:rsidRDefault="000E38D6" w:rsidP="003A7CF4">
      <w:pPr>
        <w:widowControl w:val="0"/>
        <w:autoSpaceDE w:val="0"/>
        <w:autoSpaceDN w:val="0"/>
        <w:adjustRightInd w:val="0"/>
        <w:ind w:left="641" w:hanging="641"/>
        <w:rPr>
          <w:rFonts w:cs="Times New Roman"/>
          <w:b/>
          <w:noProof/>
          <w:szCs w:val="24"/>
          <w:lang w:val="en-GB"/>
        </w:rPr>
      </w:pPr>
      <w:r w:rsidRPr="00F236D2">
        <w:rPr>
          <w:rFonts w:cs="Times New Roman"/>
          <w:b/>
          <w:noProof/>
          <w:szCs w:val="24"/>
          <w:lang w:val="en-GB"/>
        </w:rPr>
        <w:t>Reference to a chapter in an edited book:</w:t>
      </w:r>
    </w:p>
    <w:p w14:paraId="0C3B5926" w14:textId="2210D86D" w:rsidR="00CB3E85" w:rsidRPr="00F236D2" w:rsidRDefault="00CB3E85" w:rsidP="00CB3E85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szCs w:val="24"/>
          <w:lang w:val="en-GB"/>
        </w:rPr>
      </w:pPr>
      <w:r w:rsidRPr="00F236D2">
        <w:rPr>
          <w:rFonts w:cs="Times New Roman"/>
          <w:noProof/>
          <w:szCs w:val="24"/>
          <w:lang w:val="en-GB"/>
        </w:rPr>
        <w:t>[4]</w:t>
      </w:r>
      <w:r w:rsidRPr="00F236D2">
        <w:rPr>
          <w:rFonts w:cs="Times New Roman"/>
          <w:noProof/>
          <w:szCs w:val="24"/>
          <w:lang w:val="en-GB"/>
        </w:rPr>
        <w:tab/>
        <w:t xml:space="preserve">B. D. Tapley, B. E. Schutz, and G. H. Born, “Orbit Determination Concepts,” in </w:t>
      </w:r>
      <w:r w:rsidRPr="00F236D2">
        <w:rPr>
          <w:rFonts w:cs="Times New Roman"/>
          <w:i/>
          <w:iCs/>
          <w:noProof/>
          <w:szCs w:val="24"/>
          <w:lang w:val="en-GB"/>
        </w:rPr>
        <w:t>Statistical Orbit Determination</w:t>
      </w:r>
      <w:r w:rsidRPr="00F236D2">
        <w:rPr>
          <w:rFonts w:cs="Times New Roman"/>
          <w:noProof/>
          <w:szCs w:val="24"/>
          <w:lang w:val="en-GB"/>
        </w:rPr>
        <w:t>, Elsevier, 2004, pp. 1–16.</w:t>
      </w:r>
    </w:p>
    <w:p w14:paraId="7B4B98D3" w14:textId="17A8C91F" w:rsidR="000E38D6" w:rsidRPr="00F236D2" w:rsidRDefault="000E38D6" w:rsidP="003A7CF4">
      <w:pPr>
        <w:widowControl w:val="0"/>
        <w:autoSpaceDE w:val="0"/>
        <w:autoSpaceDN w:val="0"/>
        <w:adjustRightInd w:val="0"/>
        <w:ind w:left="641" w:hanging="641"/>
        <w:rPr>
          <w:rFonts w:cs="Times New Roman"/>
          <w:b/>
          <w:noProof/>
          <w:szCs w:val="24"/>
          <w:lang w:val="en-GB"/>
        </w:rPr>
      </w:pPr>
      <w:r w:rsidRPr="00F236D2">
        <w:rPr>
          <w:rFonts w:cs="Times New Roman"/>
          <w:b/>
          <w:noProof/>
          <w:szCs w:val="24"/>
          <w:lang w:val="en-GB"/>
        </w:rPr>
        <w:t>Reference to a report:</w:t>
      </w:r>
    </w:p>
    <w:p w14:paraId="5BD7B82E" w14:textId="41386E12" w:rsidR="00CB3E85" w:rsidRPr="00F236D2" w:rsidRDefault="00CB3E85" w:rsidP="00CB3E85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szCs w:val="24"/>
          <w:lang w:val="en-GB"/>
        </w:rPr>
      </w:pPr>
      <w:r w:rsidRPr="00F236D2">
        <w:rPr>
          <w:rFonts w:cs="Times New Roman"/>
          <w:noProof/>
          <w:szCs w:val="24"/>
          <w:lang w:val="en-GB"/>
        </w:rPr>
        <w:t>[5]</w:t>
      </w:r>
      <w:r w:rsidRPr="00F236D2">
        <w:rPr>
          <w:rFonts w:cs="Times New Roman"/>
          <w:noProof/>
          <w:szCs w:val="24"/>
          <w:lang w:val="en-GB"/>
        </w:rPr>
        <w:tab/>
        <w:t>J. McCarthy, “Mathematical Theory of Computation,” Livermore, CA (United States), Aug. 1991.</w:t>
      </w:r>
    </w:p>
    <w:p w14:paraId="2CE39124" w14:textId="00274772" w:rsidR="000E38D6" w:rsidRPr="00F236D2" w:rsidRDefault="000E38D6" w:rsidP="003A7CF4">
      <w:pPr>
        <w:widowControl w:val="0"/>
        <w:autoSpaceDE w:val="0"/>
        <w:autoSpaceDN w:val="0"/>
        <w:adjustRightInd w:val="0"/>
        <w:ind w:left="641" w:hanging="641"/>
        <w:rPr>
          <w:rFonts w:cs="Times New Roman"/>
          <w:b/>
          <w:noProof/>
          <w:szCs w:val="24"/>
          <w:lang w:val="en-GB"/>
        </w:rPr>
      </w:pPr>
      <w:r w:rsidRPr="00F236D2">
        <w:rPr>
          <w:rFonts w:cs="Times New Roman"/>
          <w:b/>
          <w:noProof/>
          <w:szCs w:val="24"/>
          <w:lang w:val="en-GB"/>
        </w:rPr>
        <w:t>Reference to a website:</w:t>
      </w:r>
    </w:p>
    <w:p w14:paraId="7DC1B172" w14:textId="7DEC8294" w:rsidR="00CB3E85" w:rsidRPr="00F236D2" w:rsidRDefault="00CB3E85" w:rsidP="00CB3E85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szCs w:val="24"/>
          <w:lang w:val="en-GB"/>
        </w:rPr>
      </w:pPr>
      <w:r w:rsidRPr="00F236D2">
        <w:rPr>
          <w:rFonts w:cs="Times New Roman"/>
          <w:noProof/>
          <w:szCs w:val="24"/>
          <w:lang w:val="en-GB"/>
        </w:rPr>
        <w:t>[6]</w:t>
      </w:r>
      <w:r w:rsidRPr="00F236D2">
        <w:rPr>
          <w:rFonts w:cs="Times New Roman"/>
          <w:noProof/>
          <w:szCs w:val="24"/>
          <w:lang w:val="en-GB"/>
        </w:rPr>
        <w:tab/>
        <w:t>AFAD, “Türkiye Deprem Bölgeleri Haritası,” 2019. [Online]. Available: https://deprem.afad.gov.tr/deprem-tehlike-haritasi. [Accessed: 16-Feb-2019].</w:t>
      </w:r>
    </w:p>
    <w:p w14:paraId="755A615F" w14:textId="1470265F" w:rsidR="000E38D6" w:rsidRPr="00F236D2" w:rsidRDefault="000E38D6" w:rsidP="003A7CF4">
      <w:pPr>
        <w:widowControl w:val="0"/>
        <w:autoSpaceDE w:val="0"/>
        <w:autoSpaceDN w:val="0"/>
        <w:adjustRightInd w:val="0"/>
        <w:ind w:left="641" w:hanging="641"/>
        <w:rPr>
          <w:rFonts w:cs="Times New Roman"/>
          <w:b/>
          <w:noProof/>
          <w:szCs w:val="24"/>
          <w:lang w:val="en-GB"/>
        </w:rPr>
      </w:pPr>
      <w:r w:rsidRPr="00F236D2">
        <w:rPr>
          <w:rFonts w:cs="Times New Roman"/>
          <w:b/>
          <w:noProof/>
          <w:szCs w:val="24"/>
          <w:lang w:val="en-GB"/>
        </w:rPr>
        <w:t>Reference to thesis:</w:t>
      </w:r>
    </w:p>
    <w:p w14:paraId="0AC16278" w14:textId="2D7CD0B9" w:rsidR="00CB3E85" w:rsidRPr="00F236D2" w:rsidRDefault="00CB3E85" w:rsidP="00CB3E85">
      <w:pPr>
        <w:widowControl w:val="0"/>
        <w:autoSpaceDE w:val="0"/>
        <w:autoSpaceDN w:val="0"/>
        <w:adjustRightInd w:val="0"/>
        <w:ind w:left="640" w:hanging="640"/>
        <w:rPr>
          <w:rFonts w:cs="Times New Roman"/>
          <w:noProof/>
          <w:szCs w:val="24"/>
          <w:lang w:val="en-GB"/>
        </w:rPr>
      </w:pPr>
      <w:r w:rsidRPr="00F236D2">
        <w:rPr>
          <w:rFonts w:cs="Times New Roman"/>
          <w:noProof/>
          <w:szCs w:val="24"/>
          <w:lang w:val="en-GB"/>
        </w:rPr>
        <w:t>[7]</w:t>
      </w:r>
      <w:r w:rsidRPr="00F236D2">
        <w:rPr>
          <w:rFonts w:cs="Times New Roman"/>
          <w:noProof/>
          <w:szCs w:val="24"/>
          <w:lang w:val="en-GB"/>
        </w:rPr>
        <w:tab/>
        <w:t>D. A. Niffenegger, “Determination of seed homogeneity,” Iowa State University, Digital Repository, Ames, 1967.</w:t>
      </w:r>
    </w:p>
    <w:p w14:paraId="28600441" w14:textId="24F14EBB" w:rsidR="000E38D6" w:rsidRPr="00F236D2" w:rsidRDefault="000E38D6" w:rsidP="003A7CF4">
      <w:pPr>
        <w:widowControl w:val="0"/>
        <w:autoSpaceDE w:val="0"/>
        <w:autoSpaceDN w:val="0"/>
        <w:adjustRightInd w:val="0"/>
        <w:ind w:left="641" w:hanging="641"/>
        <w:rPr>
          <w:rFonts w:cs="Times New Roman"/>
          <w:b/>
          <w:noProof/>
          <w:szCs w:val="24"/>
          <w:lang w:val="en-GB"/>
        </w:rPr>
      </w:pPr>
      <w:r w:rsidRPr="00F236D2">
        <w:rPr>
          <w:rFonts w:cs="Times New Roman"/>
          <w:b/>
          <w:noProof/>
          <w:szCs w:val="24"/>
          <w:lang w:val="en-GB"/>
        </w:rPr>
        <w:t>Reference to software:</w:t>
      </w:r>
    </w:p>
    <w:p w14:paraId="2FB5E75A" w14:textId="5ED6F5B1" w:rsidR="000925C0" w:rsidRPr="00111104" w:rsidRDefault="00CB3E85" w:rsidP="003A7CF4">
      <w:pPr>
        <w:widowControl w:val="0"/>
        <w:autoSpaceDE w:val="0"/>
        <w:autoSpaceDN w:val="0"/>
        <w:adjustRightInd w:val="0"/>
        <w:spacing w:after="120"/>
        <w:ind w:left="640" w:hanging="640"/>
        <w:rPr>
          <w:b/>
          <w:lang w:val="en-GB"/>
        </w:rPr>
      </w:pPr>
      <w:r w:rsidRPr="00F236D2">
        <w:rPr>
          <w:rFonts w:cs="Times New Roman"/>
          <w:noProof/>
          <w:szCs w:val="24"/>
          <w:lang w:val="en-GB"/>
        </w:rPr>
        <w:t>[8]</w:t>
      </w:r>
      <w:r w:rsidRPr="00F236D2">
        <w:rPr>
          <w:rFonts w:cs="Times New Roman"/>
          <w:noProof/>
          <w:szCs w:val="24"/>
          <w:lang w:val="en-GB"/>
        </w:rPr>
        <w:tab/>
        <w:t>“SAP2000.” Computers &amp; Structures, CALIFORNIA, 2019.</w:t>
      </w:r>
      <w:r w:rsidR="00E26231" w:rsidRPr="00F236D2">
        <w:rPr>
          <w:b/>
          <w:lang w:val="en-GB"/>
        </w:rPr>
        <w:fldChar w:fldCharType="end"/>
      </w:r>
    </w:p>
    <w:sectPr w:rsidR="000925C0" w:rsidRPr="00111104" w:rsidSect="0007763D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6C45" w14:textId="77777777" w:rsidR="009E7878" w:rsidRDefault="009E7878" w:rsidP="007B56EB">
      <w:r>
        <w:separator/>
      </w:r>
    </w:p>
  </w:endnote>
  <w:endnote w:type="continuationSeparator" w:id="0">
    <w:p w14:paraId="6EEA692C" w14:textId="77777777" w:rsidR="009E7878" w:rsidRDefault="009E7878" w:rsidP="007B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34FB" w14:textId="34CC7833" w:rsidR="005E6615" w:rsidRDefault="005E6615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58A2" w14:textId="77777777" w:rsidR="009E7878" w:rsidRDefault="009E7878" w:rsidP="007B56EB">
      <w:r>
        <w:separator/>
      </w:r>
    </w:p>
  </w:footnote>
  <w:footnote w:type="continuationSeparator" w:id="0">
    <w:p w14:paraId="4AC2651C" w14:textId="77777777" w:rsidR="009E7878" w:rsidRDefault="009E7878" w:rsidP="007B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89"/>
    </w:tblGrid>
    <w:tr w:rsidR="00E34308" w:rsidRPr="009876FC" w14:paraId="76AEEC82" w14:textId="77777777" w:rsidTr="00F62C48">
      <w:tc>
        <w:tcPr>
          <w:tcW w:w="7371" w:type="dxa"/>
          <w:vAlign w:val="bottom"/>
        </w:tcPr>
        <w:p w14:paraId="549A5E04" w14:textId="7FFB9081" w:rsidR="00E34308" w:rsidRPr="00307122" w:rsidRDefault="00E34308" w:rsidP="00307122">
          <w:pPr>
            <w:pStyle w:val="stBilgi"/>
            <w:jc w:val="left"/>
            <w:rPr>
              <w:lang w:val="en-GB"/>
            </w:rPr>
          </w:pPr>
        </w:p>
      </w:tc>
      <w:tc>
        <w:tcPr>
          <w:tcW w:w="1689" w:type="dxa"/>
        </w:tcPr>
        <w:p w14:paraId="4115A6DB" w14:textId="19BC648E" w:rsidR="00E34308" w:rsidRPr="009876FC" w:rsidRDefault="00145CE9" w:rsidP="00145CE9">
          <w:pPr>
            <w:pStyle w:val="stBilgi"/>
            <w:jc w:val="right"/>
            <w:rPr>
              <w:lang w:val="en-GB"/>
            </w:rPr>
          </w:pPr>
          <w:r>
            <w:rPr>
              <w:lang w:val="en-GB"/>
            </w:rPr>
            <w:t>ICADET’2</w:t>
          </w:r>
          <w:r w:rsidR="001A14D2">
            <w:rPr>
              <w:lang w:val="en-GB"/>
            </w:rPr>
            <w:t>6</w:t>
          </w:r>
        </w:p>
      </w:tc>
    </w:tr>
  </w:tbl>
  <w:p w14:paraId="1087D731" w14:textId="77777777" w:rsidR="003314BE" w:rsidRPr="009876FC" w:rsidRDefault="003314BE">
    <w:pPr>
      <w:pStyle w:val="stBilgi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072" w:type="dxa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7"/>
      <w:gridCol w:w="5388"/>
      <w:gridCol w:w="1847"/>
    </w:tblGrid>
    <w:tr w:rsidR="00455DD0" w:rsidRPr="00307122" w14:paraId="275941E8" w14:textId="77777777" w:rsidTr="00307122">
      <w:trPr>
        <w:trHeight w:val="1107"/>
      </w:trPr>
      <w:tc>
        <w:tcPr>
          <w:tcW w:w="1837" w:type="dxa"/>
          <w:vAlign w:val="center"/>
        </w:tcPr>
        <w:p w14:paraId="6BC6BA7D" w14:textId="1BFD37DE" w:rsidR="00455DD0" w:rsidRPr="00307122" w:rsidRDefault="00777D3D" w:rsidP="00455DD0">
          <w:pPr>
            <w:pStyle w:val="stBilgi"/>
            <w:jc w:val="center"/>
            <w:rPr>
              <w:lang w:val="en-GB"/>
            </w:rPr>
          </w:pPr>
          <w:r w:rsidRPr="00307122">
            <w:rPr>
              <w:noProof/>
              <w:lang w:eastAsia="tr-TR"/>
            </w:rPr>
            <w:drawing>
              <wp:inline distT="0" distB="0" distL="0" distR="0" wp14:anchorId="1574EA00" wp14:editId="5C550DA6">
                <wp:extent cx="770400" cy="770400"/>
                <wp:effectExtent l="0" t="0" r="0" b="0"/>
                <wp:docPr id="1" name="Resim 1" descr="http://www.bayburt.edu.tr/static/media/logo-icon@2x-nsh_e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bayburt.edu.tr/static/media/logo-icon@2x-nsh_e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4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8" w:type="dxa"/>
          <w:vAlign w:val="center"/>
        </w:tcPr>
        <w:p w14:paraId="0F23B559" w14:textId="77777777" w:rsidR="00307122" w:rsidRDefault="00307122" w:rsidP="00FB0C75">
          <w:pPr>
            <w:pStyle w:val="Balk2"/>
            <w:numPr>
              <w:ilvl w:val="0"/>
              <w:numId w:val="0"/>
            </w:numPr>
            <w:jc w:val="center"/>
            <w:rPr>
              <w:rStyle w:val="Gl"/>
              <w:b w:val="0"/>
              <w:sz w:val="24"/>
            </w:rPr>
          </w:pPr>
        </w:p>
        <w:p w14:paraId="003D7DF3" w14:textId="5D46052C" w:rsidR="00133F20" w:rsidRPr="00307122" w:rsidRDefault="006B04BA" w:rsidP="00FB0C75">
          <w:pPr>
            <w:pStyle w:val="Balk2"/>
            <w:numPr>
              <w:ilvl w:val="0"/>
              <w:numId w:val="0"/>
            </w:numPr>
            <w:jc w:val="center"/>
            <w:rPr>
              <w:rStyle w:val="Gl"/>
              <w:b w:val="0"/>
              <w:sz w:val="24"/>
            </w:rPr>
          </w:pPr>
          <w:r>
            <w:rPr>
              <w:rStyle w:val="Gl"/>
              <w:b w:val="0"/>
              <w:sz w:val="24"/>
            </w:rPr>
            <w:t>6</w:t>
          </w:r>
          <w:r w:rsidR="001275A7">
            <w:rPr>
              <w:rStyle w:val="Gl"/>
              <w:b w:val="0"/>
              <w:sz w:val="24"/>
              <w:vertAlign w:val="superscript"/>
            </w:rPr>
            <w:t>th</w:t>
          </w:r>
          <w:r w:rsidR="00461227" w:rsidRPr="00307122">
            <w:rPr>
              <w:rStyle w:val="Gl"/>
              <w:b w:val="0"/>
              <w:sz w:val="24"/>
            </w:rPr>
            <w:t xml:space="preserve"> </w:t>
          </w:r>
          <w:r w:rsidR="00133F20" w:rsidRPr="00307122">
            <w:rPr>
              <w:rStyle w:val="Gl"/>
              <w:b w:val="0"/>
              <w:sz w:val="24"/>
            </w:rPr>
            <w:t>International Conference on Advanced Engineering Technologies</w:t>
          </w:r>
        </w:p>
        <w:p w14:paraId="68C66CCC" w14:textId="77777777" w:rsidR="00307122" w:rsidRPr="00307122" w:rsidRDefault="00307122" w:rsidP="00FB0C75">
          <w:pPr>
            <w:jc w:val="center"/>
            <w:rPr>
              <w:lang w:val="en-GB"/>
            </w:rPr>
          </w:pPr>
        </w:p>
        <w:p w14:paraId="3846C1C0" w14:textId="29A2F085" w:rsidR="00455DD0" w:rsidRDefault="00540FD6" w:rsidP="00FB0C75">
          <w:pPr>
            <w:jc w:val="center"/>
            <w:rPr>
              <w:lang w:val="en-GB"/>
            </w:rPr>
          </w:pPr>
          <w:r>
            <w:rPr>
              <w:lang w:val="en-GB"/>
            </w:rPr>
            <w:t>2</w:t>
          </w:r>
          <w:r w:rsidR="006B04BA">
            <w:rPr>
              <w:lang w:val="en-GB"/>
            </w:rPr>
            <w:t>3</w:t>
          </w:r>
          <w:r w:rsidR="00133F20" w:rsidRPr="00307122">
            <w:rPr>
              <w:lang w:val="en-GB"/>
            </w:rPr>
            <w:t>-</w:t>
          </w:r>
          <w:r w:rsidR="00A176D9">
            <w:rPr>
              <w:lang w:val="en-GB"/>
            </w:rPr>
            <w:t>2</w:t>
          </w:r>
          <w:r w:rsidR="006B04BA">
            <w:rPr>
              <w:lang w:val="en-GB"/>
            </w:rPr>
            <w:t>5</w:t>
          </w:r>
          <w:r w:rsidR="00133F20" w:rsidRPr="00307122">
            <w:rPr>
              <w:lang w:val="en-GB"/>
            </w:rPr>
            <w:t xml:space="preserve"> September 20</w:t>
          </w:r>
          <w:r>
            <w:rPr>
              <w:lang w:val="en-GB"/>
            </w:rPr>
            <w:t>2</w:t>
          </w:r>
          <w:r w:rsidR="006B04BA">
            <w:rPr>
              <w:lang w:val="en-GB"/>
            </w:rPr>
            <w:t>6</w:t>
          </w:r>
        </w:p>
        <w:p w14:paraId="41ED2E5F" w14:textId="02F6271A" w:rsidR="00307122" w:rsidRPr="00307122" w:rsidRDefault="00307122" w:rsidP="00FB0C75">
          <w:pPr>
            <w:jc w:val="center"/>
            <w:rPr>
              <w:lang w:val="en-GB"/>
            </w:rPr>
          </w:pPr>
        </w:p>
      </w:tc>
      <w:tc>
        <w:tcPr>
          <w:tcW w:w="1847" w:type="dxa"/>
          <w:vAlign w:val="center"/>
        </w:tcPr>
        <w:p w14:paraId="4318BEB7" w14:textId="325D11CB" w:rsidR="00455DD0" w:rsidRPr="00307122" w:rsidRDefault="00311B39" w:rsidP="00461227">
          <w:pPr>
            <w:pStyle w:val="stBilgi"/>
            <w:rPr>
              <w:i/>
              <w:iCs/>
              <w:color w:val="404040" w:themeColor="text1" w:themeTint="BF"/>
              <w:sz w:val="14"/>
              <w:u w:val="single"/>
              <w:lang w:val="en-GB"/>
            </w:rPr>
          </w:pPr>
          <w:r>
            <w:rPr>
              <w:rStyle w:val="HafifVurgulama"/>
              <w:noProof/>
              <w:lang w:eastAsia="tr-TR"/>
            </w:rPr>
            <w:drawing>
              <wp:inline distT="0" distB="0" distL="0" distR="0" wp14:anchorId="2A4706E5" wp14:editId="7B6D7CE3">
                <wp:extent cx="1028700" cy="335280"/>
                <wp:effectExtent l="0" t="0" r="0" b="7620"/>
                <wp:docPr id="2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67140B" w14:textId="191D5D2B" w:rsidR="00855D0B" w:rsidRPr="00307122" w:rsidRDefault="00855D0B" w:rsidP="00455DD0">
    <w:pPr>
      <w:pStyle w:val="stBilgi"/>
      <w:jc w:val="right"/>
      <w:rPr>
        <w:rStyle w:val="HafifVurgulama"/>
        <w:i w:val="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4C"/>
    <w:multiLevelType w:val="multilevel"/>
    <w:tmpl w:val="1764C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7127D2"/>
    <w:multiLevelType w:val="hybridMultilevel"/>
    <w:tmpl w:val="DCD6818C"/>
    <w:lvl w:ilvl="0" w:tplc="2C26384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43B2C"/>
    <w:multiLevelType w:val="multilevel"/>
    <w:tmpl w:val="0DD61308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77C571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2738417">
    <w:abstractNumId w:val="1"/>
  </w:num>
  <w:num w:numId="2" w16cid:durableId="921332824">
    <w:abstractNumId w:val="3"/>
  </w:num>
  <w:num w:numId="3" w16cid:durableId="381295952">
    <w:abstractNumId w:val="0"/>
  </w:num>
  <w:num w:numId="4" w16cid:durableId="1103526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1MLUwszA0sjQ0tjRX0lEKTi0uzszPAykwrwUAZuvf4SwAAAA="/>
  </w:docVars>
  <w:rsids>
    <w:rsidRoot w:val="00FF223D"/>
    <w:rsid w:val="00001D3A"/>
    <w:rsid w:val="00012E02"/>
    <w:rsid w:val="00012E6C"/>
    <w:rsid w:val="00016C11"/>
    <w:rsid w:val="00047E46"/>
    <w:rsid w:val="0007763D"/>
    <w:rsid w:val="000804A8"/>
    <w:rsid w:val="00090CB3"/>
    <w:rsid w:val="000925C0"/>
    <w:rsid w:val="000A7403"/>
    <w:rsid w:val="000B3217"/>
    <w:rsid w:val="000B5AE6"/>
    <w:rsid w:val="000B7539"/>
    <w:rsid w:val="000C1C21"/>
    <w:rsid w:val="000E38D6"/>
    <w:rsid w:val="000E3B78"/>
    <w:rsid w:val="000F52EC"/>
    <w:rsid w:val="00111104"/>
    <w:rsid w:val="00121521"/>
    <w:rsid w:val="001275A7"/>
    <w:rsid w:val="00133F20"/>
    <w:rsid w:val="001438E2"/>
    <w:rsid w:val="00145CE9"/>
    <w:rsid w:val="00164A9C"/>
    <w:rsid w:val="00170528"/>
    <w:rsid w:val="001835F7"/>
    <w:rsid w:val="00190BCE"/>
    <w:rsid w:val="00194438"/>
    <w:rsid w:val="001A14D2"/>
    <w:rsid w:val="001B0AF1"/>
    <w:rsid w:val="001B134D"/>
    <w:rsid w:val="001C55B4"/>
    <w:rsid w:val="001E01F9"/>
    <w:rsid w:val="001E2ABB"/>
    <w:rsid w:val="001E5505"/>
    <w:rsid w:val="001E7F30"/>
    <w:rsid w:val="001F364A"/>
    <w:rsid w:val="0020245E"/>
    <w:rsid w:val="002122EA"/>
    <w:rsid w:val="00240019"/>
    <w:rsid w:val="0024331D"/>
    <w:rsid w:val="00260899"/>
    <w:rsid w:val="002658C9"/>
    <w:rsid w:val="00265CFE"/>
    <w:rsid w:val="00271145"/>
    <w:rsid w:val="002A689D"/>
    <w:rsid w:val="002B07DB"/>
    <w:rsid w:val="002D3FAE"/>
    <w:rsid w:val="00307122"/>
    <w:rsid w:val="00307169"/>
    <w:rsid w:val="0030738D"/>
    <w:rsid w:val="00311B39"/>
    <w:rsid w:val="00311D41"/>
    <w:rsid w:val="003314BE"/>
    <w:rsid w:val="00331914"/>
    <w:rsid w:val="00333D7D"/>
    <w:rsid w:val="00346AD7"/>
    <w:rsid w:val="003A434D"/>
    <w:rsid w:val="003A684E"/>
    <w:rsid w:val="003A7CF4"/>
    <w:rsid w:val="003E4596"/>
    <w:rsid w:val="003F6053"/>
    <w:rsid w:val="00414A75"/>
    <w:rsid w:val="00415B80"/>
    <w:rsid w:val="00426602"/>
    <w:rsid w:val="00442807"/>
    <w:rsid w:val="00445B79"/>
    <w:rsid w:val="00455DD0"/>
    <w:rsid w:val="0045739F"/>
    <w:rsid w:val="00461227"/>
    <w:rsid w:val="00463FAF"/>
    <w:rsid w:val="004827F5"/>
    <w:rsid w:val="00483332"/>
    <w:rsid w:val="004833A3"/>
    <w:rsid w:val="00490B77"/>
    <w:rsid w:val="0049206E"/>
    <w:rsid w:val="004978C5"/>
    <w:rsid w:val="004B3935"/>
    <w:rsid w:val="004B5A34"/>
    <w:rsid w:val="004C17A1"/>
    <w:rsid w:val="00506598"/>
    <w:rsid w:val="005158C1"/>
    <w:rsid w:val="00520954"/>
    <w:rsid w:val="0052483B"/>
    <w:rsid w:val="00530D52"/>
    <w:rsid w:val="00540FD6"/>
    <w:rsid w:val="00551F74"/>
    <w:rsid w:val="00562C33"/>
    <w:rsid w:val="00576D62"/>
    <w:rsid w:val="005826D5"/>
    <w:rsid w:val="005A7AE5"/>
    <w:rsid w:val="005C249C"/>
    <w:rsid w:val="005C3DEE"/>
    <w:rsid w:val="005D1881"/>
    <w:rsid w:val="005D2C64"/>
    <w:rsid w:val="005D718C"/>
    <w:rsid w:val="005E6615"/>
    <w:rsid w:val="005F084C"/>
    <w:rsid w:val="0061523B"/>
    <w:rsid w:val="006379D9"/>
    <w:rsid w:val="00655836"/>
    <w:rsid w:val="00656320"/>
    <w:rsid w:val="00662C67"/>
    <w:rsid w:val="00672EB8"/>
    <w:rsid w:val="00682B9C"/>
    <w:rsid w:val="00694357"/>
    <w:rsid w:val="00694A19"/>
    <w:rsid w:val="006A5346"/>
    <w:rsid w:val="006B04BA"/>
    <w:rsid w:val="006B1116"/>
    <w:rsid w:val="006D01C6"/>
    <w:rsid w:val="006E18A2"/>
    <w:rsid w:val="006E33A0"/>
    <w:rsid w:val="00703D96"/>
    <w:rsid w:val="00711C9A"/>
    <w:rsid w:val="00732901"/>
    <w:rsid w:val="00743389"/>
    <w:rsid w:val="0076049D"/>
    <w:rsid w:val="00765438"/>
    <w:rsid w:val="007706A4"/>
    <w:rsid w:val="00777D3D"/>
    <w:rsid w:val="00784622"/>
    <w:rsid w:val="00784F7A"/>
    <w:rsid w:val="007945A8"/>
    <w:rsid w:val="007B498D"/>
    <w:rsid w:val="007B56EB"/>
    <w:rsid w:val="007B73B0"/>
    <w:rsid w:val="007D149F"/>
    <w:rsid w:val="007E4499"/>
    <w:rsid w:val="007F5B9C"/>
    <w:rsid w:val="00812DBF"/>
    <w:rsid w:val="00813AF2"/>
    <w:rsid w:val="00815419"/>
    <w:rsid w:val="00852A81"/>
    <w:rsid w:val="00855D0B"/>
    <w:rsid w:val="00860048"/>
    <w:rsid w:val="008626B2"/>
    <w:rsid w:val="00862825"/>
    <w:rsid w:val="008A4826"/>
    <w:rsid w:val="008B3E38"/>
    <w:rsid w:val="008E6035"/>
    <w:rsid w:val="00905488"/>
    <w:rsid w:val="0092058E"/>
    <w:rsid w:val="00945D05"/>
    <w:rsid w:val="00972019"/>
    <w:rsid w:val="00984958"/>
    <w:rsid w:val="009876FC"/>
    <w:rsid w:val="0099613F"/>
    <w:rsid w:val="009A7CD7"/>
    <w:rsid w:val="009B3B47"/>
    <w:rsid w:val="009B73FF"/>
    <w:rsid w:val="009C152D"/>
    <w:rsid w:val="009D47F3"/>
    <w:rsid w:val="009E312D"/>
    <w:rsid w:val="009E3165"/>
    <w:rsid w:val="009E7878"/>
    <w:rsid w:val="009F46FB"/>
    <w:rsid w:val="009F49F8"/>
    <w:rsid w:val="009F5F71"/>
    <w:rsid w:val="00A176D9"/>
    <w:rsid w:val="00A25DFF"/>
    <w:rsid w:val="00A3246F"/>
    <w:rsid w:val="00A331DD"/>
    <w:rsid w:val="00A60AC2"/>
    <w:rsid w:val="00A61A0B"/>
    <w:rsid w:val="00AC230B"/>
    <w:rsid w:val="00AC4E12"/>
    <w:rsid w:val="00AD15BA"/>
    <w:rsid w:val="00B1212C"/>
    <w:rsid w:val="00B4433B"/>
    <w:rsid w:val="00B46904"/>
    <w:rsid w:val="00B52E3D"/>
    <w:rsid w:val="00B63FA3"/>
    <w:rsid w:val="00B71918"/>
    <w:rsid w:val="00B82EF9"/>
    <w:rsid w:val="00B84988"/>
    <w:rsid w:val="00BA71C6"/>
    <w:rsid w:val="00BB2D81"/>
    <w:rsid w:val="00BB3C09"/>
    <w:rsid w:val="00BC67F5"/>
    <w:rsid w:val="00BE6EB0"/>
    <w:rsid w:val="00BF29D5"/>
    <w:rsid w:val="00C01963"/>
    <w:rsid w:val="00C12134"/>
    <w:rsid w:val="00C20F25"/>
    <w:rsid w:val="00C2358F"/>
    <w:rsid w:val="00C327E3"/>
    <w:rsid w:val="00C32DC4"/>
    <w:rsid w:val="00C5253B"/>
    <w:rsid w:val="00C55480"/>
    <w:rsid w:val="00C64456"/>
    <w:rsid w:val="00C651A0"/>
    <w:rsid w:val="00C844FE"/>
    <w:rsid w:val="00C84614"/>
    <w:rsid w:val="00C879A4"/>
    <w:rsid w:val="00C90CA1"/>
    <w:rsid w:val="00C91157"/>
    <w:rsid w:val="00C92557"/>
    <w:rsid w:val="00CB3E85"/>
    <w:rsid w:val="00CC7E95"/>
    <w:rsid w:val="00CE0CA5"/>
    <w:rsid w:val="00CE3C84"/>
    <w:rsid w:val="00CE6449"/>
    <w:rsid w:val="00D06ECD"/>
    <w:rsid w:val="00D10FD2"/>
    <w:rsid w:val="00D246A9"/>
    <w:rsid w:val="00D46528"/>
    <w:rsid w:val="00D470CA"/>
    <w:rsid w:val="00D56FE3"/>
    <w:rsid w:val="00D64BDA"/>
    <w:rsid w:val="00D93EFC"/>
    <w:rsid w:val="00D95AC7"/>
    <w:rsid w:val="00D971D9"/>
    <w:rsid w:val="00DA15FE"/>
    <w:rsid w:val="00DA73D6"/>
    <w:rsid w:val="00DC0E89"/>
    <w:rsid w:val="00DC3C78"/>
    <w:rsid w:val="00DD392B"/>
    <w:rsid w:val="00DF061D"/>
    <w:rsid w:val="00E13551"/>
    <w:rsid w:val="00E143C8"/>
    <w:rsid w:val="00E1468B"/>
    <w:rsid w:val="00E26231"/>
    <w:rsid w:val="00E273B5"/>
    <w:rsid w:val="00E34308"/>
    <w:rsid w:val="00E507A1"/>
    <w:rsid w:val="00E526FB"/>
    <w:rsid w:val="00E70912"/>
    <w:rsid w:val="00E77544"/>
    <w:rsid w:val="00E801C5"/>
    <w:rsid w:val="00E858ED"/>
    <w:rsid w:val="00EA18A3"/>
    <w:rsid w:val="00EC0FAA"/>
    <w:rsid w:val="00EC5267"/>
    <w:rsid w:val="00F140B8"/>
    <w:rsid w:val="00F22016"/>
    <w:rsid w:val="00F236D2"/>
    <w:rsid w:val="00F35704"/>
    <w:rsid w:val="00F521DC"/>
    <w:rsid w:val="00F54EBC"/>
    <w:rsid w:val="00F5757B"/>
    <w:rsid w:val="00F62C48"/>
    <w:rsid w:val="00F62EC5"/>
    <w:rsid w:val="00F927B2"/>
    <w:rsid w:val="00F95CF1"/>
    <w:rsid w:val="00FB0C75"/>
    <w:rsid w:val="00FB31B7"/>
    <w:rsid w:val="00FB701B"/>
    <w:rsid w:val="00FD56CE"/>
    <w:rsid w:val="00FE24D5"/>
    <w:rsid w:val="00FE3B2A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3F34B"/>
  <w15:docId w15:val="{736069E8-8B90-43D6-9947-D93031E3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04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271145"/>
    <w:pPr>
      <w:keepNext/>
      <w:keepLines/>
      <w:numPr>
        <w:numId w:val="4"/>
      </w:numPr>
      <w:ind w:left="357" w:hanging="357"/>
      <w:outlineLvl w:val="0"/>
    </w:pPr>
    <w:rPr>
      <w:rFonts w:eastAsiaTheme="majorEastAsia" w:cstheme="majorBidi"/>
      <w:b/>
      <w:caps/>
      <w:color w:val="000000" w:themeColor="text1"/>
      <w:sz w:val="24"/>
      <w:szCs w:val="32"/>
      <w:lang w:val="en-GB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1145"/>
    <w:pPr>
      <w:keepNext/>
      <w:keepLines/>
      <w:numPr>
        <w:ilvl w:val="1"/>
        <w:numId w:val="4"/>
      </w:numPr>
      <w:ind w:left="357" w:hanging="357"/>
      <w:outlineLvl w:val="1"/>
    </w:pPr>
    <w:rPr>
      <w:rFonts w:eastAsiaTheme="majorEastAsia" w:cstheme="majorBidi"/>
      <w:b/>
      <w:color w:val="000000" w:themeColor="text1"/>
      <w:szCs w:val="26"/>
      <w:lang w:val="en-GB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71145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71145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711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2ABB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711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711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711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tleofthepaper">
    <w:name w:val="Title of the paper"/>
    <w:rsid w:val="00D246A9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D246A9"/>
    <w:pPr>
      <w:ind w:left="720"/>
      <w:contextualSpacing/>
    </w:pPr>
  </w:style>
  <w:style w:type="table" w:styleId="TabloKlavuzu">
    <w:name w:val="Table Grid"/>
    <w:basedOn w:val="NormalTablo"/>
    <w:uiPriority w:val="39"/>
    <w:rsid w:val="00D2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2483B"/>
    <w:pPr>
      <w:spacing w:after="0" w:line="240" w:lineRule="exact"/>
      <w:ind w:firstLine="454"/>
      <w:jc w:val="both"/>
    </w:pPr>
    <w:rPr>
      <w:rFonts w:ascii="Times New Roman" w:eastAsia="MS Mincho" w:hAnsi="Times New Roman" w:cs="Times New Roman"/>
      <w:kern w:val="20"/>
      <w:sz w:val="20"/>
      <w:szCs w:val="20"/>
      <w:lang w:val="en-US" w:eastAsia="ja-JP"/>
    </w:rPr>
  </w:style>
  <w:style w:type="paragraph" w:customStyle="1" w:styleId="paragraph">
    <w:name w:val="paragraph"/>
    <w:basedOn w:val="Normal"/>
    <w:rsid w:val="00C5548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character" w:customStyle="1" w:styleId="normaltextrun">
    <w:name w:val="normaltextrun"/>
    <w:basedOn w:val="VarsaylanParagrafYazTipi"/>
    <w:rsid w:val="00C55480"/>
  </w:style>
  <w:style w:type="character" w:customStyle="1" w:styleId="spellingerror">
    <w:name w:val="spellingerror"/>
    <w:basedOn w:val="VarsaylanParagrafYazTipi"/>
    <w:rsid w:val="00C55480"/>
  </w:style>
  <w:style w:type="character" w:customStyle="1" w:styleId="eop">
    <w:name w:val="eop"/>
    <w:basedOn w:val="VarsaylanParagrafYazTipi"/>
    <w:rsid w:val="00C55480"/>
  </w:style>
  <w:style w:type="paragraph" w:styleId="ResimYazs">
    <w:name w:val="caption"/>
    <w:basedOn w:val="Normal"/>
    <w:next w:val="Normal"/>
    <w:uiPriority w:val="35"/>
    <w:unhideWhenUsed/>
    <w:qFormat/>
    <w:rsid w:val="001F364A"/>
    <w:pPr>
      <w:spacing w:after="200"/>
    </w:pPr>
    <w:rPr>
      <w:iCs/>
      <w:color w:val="000000" w:themeColor="text1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B56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56E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B56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56EB"/>
    <w:rPr>
      <w:rFonts w:ascii="Times New Roman" w:hAnsi="Times New Roman"/>
      <w:sz w:val="24"/>
    </w:rPr>
  </w:style>
  <w:style w:type="character" w:customStyle="1" w:styleId="tlid-translation">
    <w:name w:val="tlid-translation"/>
    <w:basedOn w:val="VarsaylanParagrafYazTipi"/>
    <w:rsid w:val="00855D0B"/>
  </w:style>
  <w:style w:type="character" w:customStyle="1" w:styleId="Balk1Char">
    <w:name w:val="Başlık 1 Char"/>
    <w:basedOn w:val="VarsaylanParagrafYazTipi"/>
    <w:link w:val="Balk1"/>
    <w:uiPriority w:val="9"/>
    <w:rsid w:val="00271145"/>
    <w:rPr>
      <w:rFonts w:ascii="Times New Roman" w:eastAsiaTheme="majorEastAsia" w:hAnsi="Times New Roman" w:cstheme="majorBidi"/>
      <w:b/>
      <w:caps/>
      <w:color w:val="000000" w:themeColor="text1"/>
      <w:sz w:val="24"/>
      <w:szCs w:val="32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271145"/>
    <w:rPr>
      <w:rFonts w:ascii="Times New Roman" w:eastAsiaTheme="majorEastAsia" w:hAnsi="Times New Roman" w:cstheme="majorBidi"/>
      <w:b/>
      <w:color w:val="000000" w:themeColor="text1"/>
      <w:sz w:val="20"/>
      <w:szCs w:val="26"/>
      <w:lang w:val="en-GB"/>
    </w:rPr>
  </w:style>
  <w:style w:type="character" w:styleId="Kpr">
    <w:name w:val="Hyperlink"/>
    <w:basedOn w:val="VarsaylanParagrafYazTipi"/>
    <w:uiPriority w:val="99"/>
    <w:unhideWhenUsed/>
    <w:rsid w:val="00455DD0"/>
    <w:rPr>
      <w:color w:val="0563C1" w:themeColor="hyperlink"/>
      <w:u w:val="single"/>
    </w:rPr>
  </w:style>
  <w:style w:type="character" w:styleId="HafifVurgulama">
    <w:name w:val="Subtle Emphasis"/>
    <w:basedOn w:val="VarsaylanParagrafYazTipi"/>
    <w:uiPriority w:val="19"/>
    <w:qFormat/>
    <w:rsid w:val="00455DD0"/>
    <w:rPr>
      <w:i/>
      <w:iCs/>
      <w:color w:val="404040" w:themeColor="text1" w:themeTint="BF"/>
      <w:sz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1B134D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134D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ralkYok">
    <w:name w:val="No Spacing"/>
    <w:uiPriority w:val="1"/>
    <w:qFormat/>
    <w:rsid w:val="001B134D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styleId="Gl">
    <w:name w:val="Strong"/>
    <w:basedOn w:val="VarsaylanParagrafYazTipi"/>
    <w:uiPriority w:val="22"/>
    <w:qFormat/>
    <w:rsid w:val="00307122"/>
    <w:rPr>
      <w:rFonts w:ascii="Cambria Math" w:hAnsi="Cambria Math"/>
      <w:b w:val="0"/>
      <w:bCs/>
      <w:color w:val="000000" w:themeColor="text1"/>
      <w:sz w:val="20"/>
    </w:rPr>
  </w:style>
  <w:style w:type="character" w:styleId="YerTutucuMetni">
    <w:name w:val="Placeholder Text"/>
    <w:basedOn w:val="VarsaylanParagrafYazTipi"/>
    <w:uiPriority w:val="99"/>
    <w:semiHidden/>
    <w:rsid w:val="006E33A0"/>
    <w:rPr>
      <w:color w:val="80808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2ABB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433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3389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711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71145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71145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71145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711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711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2A9DF-23E3-4164-B2C3-8ECB15FA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1630</Words>
  <Characters>9294</Characters>
  <Application>Microsoft Office Word</Application>
  <DocSecurity>0</DocSecurity>
  <Lines>77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BUFBD</dc:creator>
  <cp:lastModifiedBy>alp engin</cp:lastModifiedBy>
  <cp:revision>5</cp:revision>
  <cp:lastPrinted>2019-02-16T18:29:00Z</cp:lastPrinted>
  <dcterms:created xsi:type="dcterms:W3CDTF">2024-03-07T12:31:00Z</dcterms:created>
  <dcterms:modified xsi:type="dcterms:W3CDTF">2026-02-23T05:15:00Z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317d720c-b893-3595-8df9-dcb468b73566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http://csl.mendeley.com/styles/484303171/bayburt-tez</vt:lpwstr>
  </property>
  <property fmtid="{D5CDD505-2E9C-101B-9397-08002B2CF9AE}" pid="10" name="Mendeley Recent Style Name 2_1">
    <vt:lpwstr>Bayburt Üniversitesi Tez Yazım Kılavuzu - Bilal Tayfur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http://www.zotero.org/styles/computers-and-structures</vt:lpwstr>
  </property>
  <property fmtid="{D5CDD505-2E9C-101B-9397-08002B2CF9AE}" pid="16" name="Mendeley Recent Style Name 5_1">
    <vt:lpwstr>Computers and Structures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http://www.zotero.org/styles/ieee-engineering-management-review</vt:lpwstr>
  </property>
  <property fmtid="{D5CDD505-2E9C-101B-9397-08002B2CF9AE}" pid="20" name="Mendeley Recent Style Name 7_1">
    <vt:lpwstr>IEEE Engineering Management Review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http://www.zotero.org/styles/the-journal-of-infection-in-developing-countries</vt:lpwstr>
  </property>
  <property fmtid="{D5CDD505-2E9C-101B-9397-08002B2CF9AE}" pid="24" name="Mendeley Recent Style Name 9_1">
    <vt:lpwstr>The Journal of Infection in Developing Countries</vt:lpwstr>
  </property>
</Properties>
</file>